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line="276" w:after="80" w:before="0"/>
      </w:pPr>
      <w:r>
        <w:rPr>
          <w:b/>
          <w:bCs/>
          <w:i w:val="false"/>
          <w:iCs w:val="false"/>
          <w:color w:val="1F4CFF"/>
          <w:sz w:val="22"/>
          <w:szCs w:val="22"/>
          <w:rFonts w:ascii="Arial" w:cs="Arial" w:eastAsia="Arial" w:hAnsi="Arial"/>
        </w:rPr>
        <w:t xml:space="preserve">PROJECT MERIDIAN</w:t>
      </w:r>
    </w:p>
    <w:p>
      <w:pPr>
        <w:spacing w:line="276" w:after="100" w:before="0"/>
      </w:pPr>
      <w:r>
        <w:rPr>
          <w:b w:val="false"/>
          <w:bCs w:val="false"/>
          <w:i w:val="false"/>
          <w:iCs w:val="false"/>
          <w:color w:val="0A1F2E"/>
          <w:sz w:val="56"/>
          <w:szCs w:val="56"/>
          <w:rFonts w:ascii="Georgia" w:cs="Georgia" w:eastAsia="Georgia" w:hAnsi="Georgia"/>
        </w:rPr>
        <w:t xml:space="preserve">Meridian Components Inc.: Business summary</w:t>
      </w:r>
    </w:p>
    <w:p>
      <w:pPr>
        <w:pBdr>
          <w:bottom w:val="single" w:color="D9D9D9" w:sz="4" w:space="4"/>
        </w:pBdr>
        <w:spacing w:line="276" w:after="60" w:before="0"/>
      </w:pPr>
      <w:r>
        <w:rPr>
          <w:b w:val="false"/>
          <w:bCs w:val="false"/>
          <w:i w:val="false"/>
          <w:iCs w:val="false"/>
          <w:color w:val="63666A"/>
          <w:sz w:val="21"/>
          <w:szCs w:val="21"/>
          <w:rFonts w:ascii="Arial" w:cs="Arial" w:eastAsia="Arial" w:hAnsi="Arial"/>
        </w:rPr>
        <w:t xml:space="preserve">Acquisition | Industrial manufacturing | July 2026 | Illustrative sample financials</w:t>
      </w:r>
    </w:p>
    <w:p>
      <w:pPr>
        <w:pBdr>
          <w:bottom w:val="single" w:color="D9D9D9" w:sz="4" w:space="4"/>
        </w:pBdr>
        <w:spacing w:line="276" w:after="160" w:before="360"/>
      </w:pPr>
      <w:r>
        <w:rPr>
          <w:b/>
          <w:bCs/>
          <w:i w:val="false"/>
          <w:iCs w:val="false"/>
          <w:color w:val="0A1F2E"/>
          <w:sz w:val="32"/>
          <w:szCs w:val="32"/>
          <w:rFonts w:ascii="Georgia" w:cs="Georgia" w:eastAsia="Georgia" w:hAnsi="Georgia"/>
        </w:rPr>
        <w:t xml:space="preserve">1. Company overview</w:t>
      </w:r>
    </w:p>
    <w:p>
      <w:pPr>
        <w:spacing w:line="276" w:after="120" w:before="0"/>
      </w:pPr>
      <w:r>
        <w:rPr>
          <w:b w:val="false"/>
          <w:bCs w:val="false"/>
          <w:i w:val="false"/>
          <w:iCs w:val="false"/>
          <w:color w:val="1A1A1A"/>
          <w:sz w:val="21"/>
          <w:szCs w:val="21"/>
          <w:rFonts w:ascii="Arial" w:cs="Arial" w:eastAsia="Arial" w:hAnsi="Arial"/>
        </w:rPr>
        <w:t xml:space="preserve">The client is evaluating the acquisition of Meridian Components Inc., with a focus on expand into the Midwest market with meaningful procurement synergies.</w:t>
      </w:r>
    </w:p>
    <w:p>
      <w:pPr>
        <w:spacing w:line="276" w:after="120" w:before="0"/>
      </w:pPr>
      <w:r>
        <w:rPr>
          <w:b w:val="false"/>
          <w:bCs w:val="false"/>
          <w:i w:val="false"/>
          <w:iCs w:val="false"/>
          <w:color w:val="1A1A1A"/>
          <w:sz w:val="21"/>
          <w:szCs w:val="21"/>
          <w:rFonts w:ascii="Arial" w:cs="Arial" w:eastAsia="Arial" w:hAnsi="Arial"/>
        </w:rPr>
        <w:t xml:space="preserve">Meridian Components Inc. operates in the industrial manufacturing sector with reported revenue of $183.0M in FY24A. The analysis focuses on quality of earnings, deal perimeter, and value creation levers.</w:t>
      </w:r>
    </w:p>
    <w:tbl>
      <w:tblPr>
        <w:tblW w:type="pct" w:w="100%"/>
        <w:tblBorders>
          <w:top w:val="single" w:color="D9D9D9" w:sz="2"/>
          <w:left w:val="single" w:color="1F4CFF" w:sz="24"/>
          <w:bottom w:val="single" w:color="D9D9D9" w:sz="2"/>
          <w:right w:val="single" w:color="D9D9D9" w:sz="2"/>
          <w:insideH w:val="none"/>
          <w:insideV w:val="none"/>
        </w:tblBorders>
      </w:tblPr>
      <w:tblGrid>
        <w:gridCol w:w="100"/>
      </w:tblGrid>
      <w:tr>
        <w:tc>
          <w:tcPr>
            <w:shd w:fill="F2F5F7"/>
            <w:tcMar>
              <w:top w:type="dxa" w:w="160"/>
              <w:left w:type="dxa" w:w="240"/>
              <w:bottom w:type="dxa" w:w="160"/>
              <w:right w:type="dxa" w:w="240"/>
            </w:tcMar>
          </w:tcPr>
          <w:p>
            <w:pPr>
              <w:spacing w:line="276" w:after="120" w:before="0"/>
            </w:pPr>
            <w:r>
              <w:rPr>
                <w:b/>
                <w:bCs/>
                <w:i w:val="false"/>
                <w:iCs w:val="false"/>
                <w:color w:val="0A1F2E"/>
                <w:sz w:val="24"/>
                <w:szCs w:val="24"/>
                <w:rFonts w:ascii="Georgia" w:cs="Georgia" w:eastAsia="Georgia" w:hAnsi="Georgia"/>
              </w:rPr>
              <w:t xml:space="preserve">What matters most</w:t>
            </w:r>
          </w:p>
          <w:p>
            <w:pPr>
              <w:spacing w:line="276" w:after="140" w:before="0"/>
            </w:pPr>
            <w:r>
              <w:rPr>
                <w:b/>
                <w:bCs/>
                <w:i w:val="false"/>
                <w:iCs w:val="false"/>
                <w:color w:val="0A1F2E"/>
                <w:sz w:val="21"/>
                <w:szCs w:val="21"/>
                <w:rFonts w:ascii="Arial" w:cs="Arial" w:eastAsia="Arial" w:hAnsi="Arial"/>
              </w:rPr>
              <w:t xml:space="preserve">1. Top line: </w:t>
            </w:r>
            <w:r>
              <w:rPr>
                <w:b w:val="false"/>
                <w:bCs w:val="false"/>
                <w:i w:val="false"/>
                <w:iCs w:val="false"/>
                <w:color w:val="1A1A1A"/>
                <w:sz w:val="21"/>
                <w:szCs w:val="21"/>
                <w:rFonts w:ascii="Arial" w:cs="Arial" w:eastAsia="Arial" w:hAnsi="Arial"/>
              </w:rPr>
              <w:t xml:space="preserve">Revenue $142.0M (2021) to $183.0M (2024), an 8.8% CAGR; detail in Section 2.</w:t>
            </w:r>
          </w:p>
          <w:p>
            <w:pPr>
              <w:spacing w:line="276" w:after="140" w:before="0"/>
            </w:pPr>
            <w:r>
              <w:rPr>
                <w:b/>
                <w:bCs/>
                <w:i w:val="false"/>
                <w:iCs w:val="false"/>
                <w:color w:val="0A1F2E"/>
                <w:sz w:val="21"/>
                <w:szCs w:val="21"/>
                <w:rFonts w:ascii="Arial" w:cs="Arial" w:eastAsia="Arial" w:hAnsi="Arial"/>
              </w:rPr>
              <w:t xml:space="preserve">2. Profitability: </w:t>
            </w:r>
            <w:r>
              <w:rPr>
                <w:b w:val="false"/>
                <w:bCs w:val="false"/>
                <w:i w:val="false"/>
                <w:iCs w:val="false"/>
                <w:color w:val="1A1A1A"/>
                <w:sz w:val="21"/>
                <w:szCs w:val="21"/>
                <w:rFonts w:ascii="Arial" w:cs="Arial" w:eastAsia="Arial" w:hAnsi="Arial"/>
              </w:rPr>
              <w:t xml:space="preserve">EBITDA $34.3M at an 18.7% margin in 2024, within a typical range; detail in Section 2.</w:t>
            </w:r>
          </w:p>
          <w:p>
            <w:pPr>
              <w:spacing w:line="276" w:after="140" w:before="0"/>
            </w:pPr>
            <w:r>
              <w:rPr>
                <w:b/>
                <w:bCs/>
                <w:i w:val="false"/>
                <w:iCs w:val="false"/>
                <w:color w:val="0A1F2E"/>
                <w:sz w:val="21"/>
                <w:szCs w:val="21"/>
                <w:rFonts w:ascii="Arial" w:cs="Arial" w:eastAsia="Arial" w:hAnsi="Arial"/>
              </w:rPr>
              <w:t xml:space="preserve">3. Integration readiness: </w:t>
            </w:r>
            <w:r>
              <w:rPr>
                <w:b w:val="false"/>
                <w:bCs w:val="false"/>
                <w:i w:val="false"/>
                <w:iCs w:val="false"/>
                <w:color w:val="1A1A1A"/>
                <w:sz w:val="21"/>
                <w:szCs w:val="21"/>
                <w:rFonts w:ascii="Arial" w:cs="Arial" w:eastAsia="Arial" w:hAnsi="Arial"/>
              </w:rPr>
              <w:t xml:space="preserve">Operational dependencies and management retention determine speed to value; both are unconfirmed at this stage.</w:t>
            </w:r>
          </w:p>
          <w:p>
            <w:pPr>
              <w:spacing w:line="276" w:after="140" w:before="0"/>
            </w:pPr>
            <w:r>
              <w:rPr>
                <w:b/>
                <w:bCs/>
                <w:i w:val="false"/>
                <w:iCs w:val="false"/>
                <w:color w:val="0A1F2E"/>
                <w:sz w:val="21"/>
                <w:szCs w:val="21"/>
                <w:rFonts w:ascii="Arial" w:cs="Arial" w:eastAsia="Arial" w:hAnsi="Arial"/>
              </w:rPr>
              <w:t xml:space="preserve">4. Synergy anchor: </w:t>
            </w:r>
            <w:r>
              <w:rPr>
                <w:b w:val="false"/>
                <w:bCs w:val="false"/>
                <w:i w:val="false"/>
                <w:iCs w:val="false"/>
                <w:color w:val="1A1A1A"/>
                <w:sz w:val="21"/>
                <w:szCs w:val="21"/>
                <w:rFonts w:ascii="Arial" w:cs="Arial" w:eastAsia="Arial" w:hAnsi="Arial"/>
              </w:rPr>
              <w:t xml:space="preserve">"Procurement scale and vendor consolidation" scores highest for this situation on impact and achievability; ranked view in the accompanying presentation.</w:t>
            </w:r>
          </w:p>
        </w:tc>
      </w:tr>
    </w:tbl>
    <w:p>
      <w:pPr>
        <w:pBdr>
          <w:bottom w:val="single" w:color="D9D9D9" w:sz="4" w:space="4"/>
        </w:pBdr>
        <w:spacing w:line="276" w:after="160" w:before="360"/>
      </w:pPr>
      <w:r>
        <w:rPr>
          <w:b/>
          <w:bCs/>
          <w:i w:val="false"/>
          <w:iCs w:val="false"/>
          <w:color w:val="0A1F2E"/>
          <w:sz w:val="32"/>
          <w:szCs w:val="32"/>
          <w:rFonts w:ascii="Georgia" w:cs="Georgia" w:eastAsia="Georgia" w:hAnsi="Georgia"/>
        </w:rPr>
        <w:t xml:space="preserve">2. Financial summary</w:t>
      </w:r>
    </w:p>
    <w:p>
      <w:pPr>
        <w:spacing w:line="276" w:after="120" w:before="0"/>
      </w:pPr>
      <w:r>
        <w:rPr>
          <w:b w:val="false"/>
          <w:bCs w:val="false"/>
          <w:i w:val="false"/>
          <w:iCs w:val="false"/>
          <w:color w:val="1A1A1A"/>
          <w:sz w:val="21"/>
          <w:szCs w:val="21"/>
          <w:rFonts w:ascii="Arial" w:cs="Arial" w:eastAsia="Arial" w:hAnsi="Arial"/>
        </w:rPr>
        <w:t xml:space="preserve">Revenue grew from $142.0M in 2021 to $183.0M in 2024, a healthy 8.8% compound annual growth rate.</w:t>
      </w:r>
    </w:p>
    <w:p>
      <w:pPr>
        <w:spacing w:line="276" w:after="120" w:before="0"/>
      </w:pPr>
      <w:r>
        <w:rPr>
          <w:b w:val="false"/>
          <w:bCs w:val="false"/>
          <w:i w:val="false"/>
          <w:iCs w:val="false"/>
          <w:color w:val="1A1A1A"/>
          <w:sz w:val="21"/>
          <w:szCs w:val="21"/>
          <w:rFonts w:ascii="Arial" w:cs="Arial" w:eastAsia="Arial" w:hAnsi="Arial"/>
        </w:rPr>
        <w:t xml:space="preserve">EBITDA margin of 18.7% is within a typical range, with room for operational improvement after close.</w:t>
      </w:r>
    </w:p>
    <w:tbl>
      <w:tblPr>
        <w:tblW w:type="pct" w:w="100%"/>
        <w:tblBorders>
          <w:top w:val="single" w:color="0A1F2E" w:sz="8"/>
          <w:left w:val="none"/>
          <w:bottom w:val="single" w:color="0A1F2E" w:sz="8"/>
          <w:right w:val="none"/>
          <w:insideH w:val="single" w:color="D9D9D9" w:sz="4"/>
          <w:insideV w:val="none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c>
          <w:tcPr>
            <w:shd w:fill="0A1F2E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  <w:rFonts w:ascii="Arial" w:cs="Arial" w:eastAsia="Arial" w:hAnsi="Arial"/>
              </w:rPr>
              <w:t xml:space="preserve">$M</w:t>
            </w:r>
          </w:p>
        </w:tc>
        <w:tc>
          <w:tcPr>
            <w:shd w:fill="0A1F2E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  <w:rFonts w:ascii="Arial" w:cs="Arial" w:eastAsia="Arial" w:hAnsi="Arial"/>
              </w:rPr>
              <w:t xml:space="preserve">FY21A</w:t>
            </w:r>
          </w:p>
        </w:tc>
        <w:tc>
          <w:tcPr>
            <w:shd w:fill="0A1F2E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  <w:rFonts w:ascii="Arial" w:cs="Arial" w:eastAsia="Arial" w:hAnsi="Arial"/>
              </w:rPr>
              <w:t xml:space="preserve">FY22A</w:t>
            </w:r>
          </w:p>
        </w:tc>
        <w:tc>
          <w:tcPr>
            <w:shd w:fill="0A1F2E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  <w:rFonts w:ascii="Arial" w:cs="Arial" w:eastAsia="Arial" w:hAnsi="Arial"/>
              </w:rPr>
              <w:t xml:space="preserve">FY23A</w:t>
            </w:r>
          </w:p>
        </w:tc>
        <w:tc>
          <w:tcPr>
            <w:shd w:fill="0A1F2E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  <w:rFonts w:ascii="Arial" w:cs="Arial" w:eastAsia="Arial" w:hAnsi="Arial"/>
              </w:rPr>
              <w:t xml:space="preserve">FY24A</w:t>
            </w:r>
          </w:p>
        </w:tc>
        <w:tc>
          <w:tcPr>
            <w:shd w:fill="0A1F2E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  <w:rFonts w:ascii="Arial" w:cs="Arial" w:eastAsia="Arial" w:hAnsi="Arial"/>
              </w:rPr>
              <w:t xml:space="preserve">FY25F</w:t>
            </w:r>
          </w:p>
        </w:tc>
      </w:tr>
      <w:tr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  <w:rFonts w:ascii="Arial" w:cs="Arial" w:eastAsia="Arial" w:hAnsi="Arial"/>
              </w:rPr>
              <w:t xml:space="preserve">Revenue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  <w:rFonts w:ascii="Arial" w:cs="Arial" w:eastAsia="Arial" w:hAnsi="Arial"/>
              </w:rPr>
              <w:t xml:space="preserve">142.0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  <w:rFonts w:ascii="Arial" w:cs="Arial" w:eastAsia="Arial" w:hAnsi="Arial"/>
              </w:rPr>
              <w:t xml:space="preserve">154.0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  <w:rFonts w:ascii="Arial" w:cs="Arial" w:eastAsia="Arial" w:hAnsi="Arial"/>
              </w:rPr>
              <w:t xml:space="preserve">168.0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  <w:rFonts w:ascii="Arial" w:cs="Arial" w:eastAsia="Arial" w:hAnsi="Arial"/>
              </w:rPr>
              <w:t xml:space="preserve">183.0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  <w:rFonts w:ascii="Arial" w:cs="Arial" w:eastAsia="Arial" w:hAnsi="Arial"/>
              </w:rPr>
              <w:t xml:space="preserve">199.1</w:t>
            </w:r>
          </w:p>
        </w:tc>
      </w:tr>
      <w:tr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  <w:rFonts w:ascii="Arial" w:cs="Arial" w:eastAsia="Arial" w:hAnsi="Arial"/>
              </w:rPr>
              <w:t xml:space="preserve">Revenue growth (%)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  <w:rFonts w:ascii="Arial" w:cs="Arial" w:eastAsia="Arial" w:hAnsi="Arial"/>
              </w:rPr>
              <w:t xml:space="preserve">n/a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  <w:rFonts w:ascii="Arial" w:cs="Arial" w:eastAsia="Arial" w:hAnsi="Arial"/>
              </w:rPr>
              <w:t xml:space="preserve">8.5%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  <w:rFonts w:ascii="Arial" w:cs="Arial" w:eastAsia="Arial" w:hAnsi="Arial"/>
              </w:rPr>
              <w:t xml:space="preserve">9.1%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  <w:rFonts w:ascii="Arial" w:cs="Arial" w:eastAsia="Arial" w:hAnsi="Arial"/>
              </w:rPr>
              <w:t xml:space="preserve">8.9%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  <w:rFonts w:ascii="Arial" w:cs="Arial" w:eastAsia="Arial" w:hAnsi="Arial"/>
              </w:rPr>
              <w:t xml:space="preserve">8.8%</w:t>
            </w:r>
          </w:p>
        </w:tc>
      </w:tr>
      <w:tr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  <w:rFonts w:ascii="Arial" w:cs="Arial" w:eastAsia="Arial" w:hAnsi="Arial"/>
              </w:rPr>
              <w:t xml:space="preserve">COGS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  <w:rFonts w:ascii="Arial" w:cs="Arial" w:eastAsia="Arial" w:hAnsi="Arial"/>
              </w:rPr>
              <w:t xml:space="preserve">(92.3)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  <w:rFonts w:ascii="Arial" w:cs="Arial" w:eastAsia="Arial" w:hAnsi="Arial"/>
              </w:rPr>
              <w:t xml:space="preserve">(99.1)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  <w:rFonts w:ascii="Arial" w:cs="Arial" w:eastAsia="Arial" w:hAnsi="Arial"/>
              </w:rPr>
              <w:t xml:space="preserve">(107.0)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  <w:rFonts w:ascii="Arial" w:cs="Arial" w:eastAsia="Arial" w:hAnsi="Arial"/>
              </w:rPr>
              <w:t xml:space="preserve">(114.9)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  <w:rFonts w:ascii="Arial" w:cs="Arial" w:eastAsia="Arial" w:hAnsi="Arial"/>
              </w:rPr>
              <w:t xml:space="preserve">(125.0)</w:t>
            </w:r>
          </w:p>
        </w:tc>
      </w:tr>
      <w:tr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  <w:rFonts w:ascii="Arial" w:cs="Arial" w:eastAsia="Arial" w:hAnsi="Arial"/>
              </w:rPr>
              <w:t xml:space="preserve">SG&amp;A / Opex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  <w:rFonts w:ascii="Arial" w:cs="Arial" w:eastAsia="Arial" w:hAnsi="Arial"/>
              </w:rPr>
              <w:t xml:space="preserve">(28.4)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  <w:rFonts w:ascii="Arial" w:cs="Arial" w:eastAsia="Arial" w:hAnsi="Arial"/>
              </w:rPr>
              <w:t xml:space="preserve">(30.1)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  <w:rFonts w:ascii="Arial" w:cs="Arial" w:eastAsia="Arial" w:hAnsi="Arial"/>
              </w:rPr>
              <w:t xml:space="preserve">(32.0)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  <w:rFonts w:ascii="Arial" w:cs="Arial" w:eastAsia="Arial" w:hAnsi="Arial"/>
              </w:rPr>
              <w:t xml:space="preserve">(33.8)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  <w:rFonts w:ascii="Arial" w:cs="Arial" w:eastAsia="Arial" w:hAnsi="Arial"/>
              </w:rPr>
              <w:t xml:space="preserve">(36.8)</w:t>
            </w:r>
          </w:p>
        </w:tc>
      </w:tr>
      <w:tr>
        <w:tc>
          <w:tcPr>
            <w:shd w:fill="F2F5F7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  <w:jc w:val="left"/>
            </w:pPr>
            <w:r>
              <w:rPr>
                <w:b/>
                <w:bCs/>
                <w:i w:val="false"/>
                <w:iCs w:val="false"/>
                <w:color w:val="1A1A1A"/>
                <w:sz w:val="19"/>
                <w:szCs w:val="19"/>
                <w:rFonts w:ascii="Arial" w:cs="Arial" w:eastAsia="Arial" w:hAnsi="Arial"/>
              </w:rPr>
              <w:t xml:space="preserve">EBITDA</w:t>
            </w:r>
          </w:p>
        </w:tc>
        <w:tc>
          <w:tcPr>
            <w:shd w:fill="F2F5F7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b/>
                <w:bCs/>
                <w:i w:val="false"/>
                <w:iCs w:val="false"/>
                <w:color w:val="1A1A1A"/>
                <w:sz w:val="19"/>
                <w:szCs w:val="19"/>
                <w:rFonts w:ascii="Arial" w:cs="Arial" w:eastAsia="Arial" w:hAnsi="Arial"/>
              </w:rPr>
              <w:t xml:space="preserve">21.3</w:t>
            </w:r>
          </w:p>
        </w:tc>
        <w:tc>
          <w:tcPr>
            <w:shd w:fill="F2F5F7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b/>
                <w:bCs/>
                <w:i w:val="false"/>
                <w:iCs w:val="false"/>
                <w:color w:val="1A1A1A"/>
                <w:sz w:val="19"/>
                <w:szCs w:val="19"/>
                <w:rFonts w:ascii="Arial" w:cs="Arial" w:eastAsia="Arial" w:hAnsi="Arial"/>
              </w:rPr>
              <w:t xml:space="preserve">24.8</w:t>
            </w:r>
          </w:p>
        </w:tc>
        <w:tc>
          <w:tcPr>
            <w:shd w:fill="F2F5F7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b/>
                <w:bCs/>
                <w:i w:val="false"/>
                <w:iCs w:val="false"/>
                <w:color w:val="1A1A1A"/>
                <w:sz w:val="19"/>
                <w:szCs w:val="19"/>
                <w:rFonts w:ascii="Arial" w:cs="Arial" w:eastAsia="Arial" w:hAnsi="Arial"/>
              </w:rPr>
              <w:t xml:space="preserve">29.0</w:t>
            </w:r>
          </w:p>
        </w:tc>
        <w:tc>
          <w:tcPr>
            <w:shd w:fill="F2F5F7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b/>
                <w:bCs/>
                <w:i w:val="false"/>
                <w:iCs w:val="false"/>
                <w:color w:val="1A1A1A"/>
                <w:sz w:val="19"/>
                <w:szCs w:val="19"/>
                <w:rFonts w:ascii="Arial" w:cs="Arial" w:eastAsia="Arial" w:hAnsi="Arial"/>
              </w:rPr>
              <w:t xml:space="preserve">34.3</w:t>
            </w:r>
          </w:p>
        </w:tc>
        <w:tc>
          <w:tcPr>
            <w:shd w:fill="F2F5F7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b/>
                <w:bCs/>
                <w:i w:val="false"/>
                <w:iCs w:val="false"/>
                <w:color w:val="1A1A1A"/>
                <w:sz w:val="19"/>
                <w:szCs w:val="19"/>
                <w:rFonts w:ascii="Arial" w:cs="Arial" w:eastAsia="Arial" w:hAnsi="Arial"/>
              </w:rPr>
              <w:t xml:space="preserve">37.3</w:t>
            </w:r>
          </w:p>
        </w:tc>
      </w:tr>
      <w:tr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  <w:rFonts w:ascii="Arial" w:cs="Arial" w:eastAsia="Arial" w:hAnsi="Arial"/>
              </w:rPr>
              <w:t xml:space="preserve">EBITDA margin (%)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  <w:rFonts w:ascii="Arial" w:cs="Arial" w:eastAsia="Arial" w:hAnsi="Arial"/>
              </w:rPr>
              <w:t xml:space="preserve">15.0%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  <w:rFonts w:ascii="Arial" w:cs="Arial" w:eastAsia="Arial" w:hAnsi="Arial"/>
              </w:rPr>
              <w:t xml:space="preserve">16.1%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  <w:rFonts w:ascii="Arial" w:cs="Arial" w:eastAsia="Arial" w:hAnsi="Arial"/>
              </w:rPr>
              <w:t xml:space="preserve">17.3%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  <w:rFonts w:ascii="Arial" w:cs="Arial" w:eastAsia="Arial" w:hAnsi="Arial"/>
              </w:rPr>
              <w:t xml:space="preserve">18.7%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  <w:rFonts w:ascii="Arial" w:cs="Arial" w:eastAsia="Arial" w:hAnsi="Arial"/>
              </w:rPr>
              <w:t xml:space="preserve">18.7%</w:t>
            </w:r>
          </w:p>
        </w:tc>
      </w:tr>
    </w:tbl>
    <w:p>
      <w:pPr>
        <w:spacing w:line="276" w:after="240" w:before="60"/>
      </w:pPr>
      <w:r>
        <w:rPr>
          <w:b w:val="false"/>
          <w:bCs w:val="false"/>
          <w:i w:val="false"/>
          <w:iCs w:val="false"/>
          <w:color w:val="63666A"/>
          <w:sz w:val="16"/>
          <w:szCs w:val="16"/>
          <w:rFonts w:ascii="Arial" w:cs="Arial" w:eastAsia="Arial" w:hAnsi="Arial"/>
        </w:rPr>
        <w:t xml:space="preserve">Source: Illustrative sample financials; DealDesk analysis</w:t>
      </w:r>
    </w:p>
    <w:p>
      <w:pPr>
        <w:pBdr>
          <w:bottom w:val="single" w:color="D9D9D9" w:sz="4" w:space="4"/>
        </w:pBdr>
        <w:spacing w:line="276" w:after="160" w:before="360"/>
      </w:pPr>
      <w:r>
        <w:rPr>
          <w:b/>
          <w:bCs/>
          <w:i w:val="false"/>
          <w:iCs w:val="false"/>
          <w:color w:val="0A1F2E"/>
          <w:sz w:val="32"/>
          <w:szCs w:val="32"/>
          <w:rFonts w:ascii="Georgia" w:cs="Georgia" w:eastAsia="Georgia" w:hAnsi="Georgia"/>
        </w:rPr>
        <w:t xml:space="preserve">3. Recent news</w:t>
      </w:r>
    </w:p>
    <w:p>
      <w:pPr>
        <w:spacing w:line="276" w:after="120" w:before="0"/>
      </w:pPr>
      <w:r>
        <w:rPr>
          <w:b w:val="false"/>
          <w:bCs w:val="false"/>
          <w:i w:val="false"/>
          <w:iCs w:val="false"/>
          <w:color w:val="1A1A1A"/>
          <w:sz w:val="21"/>
          <w:szCs w:val="21"/>
          <w:rFonts w:ascii="Arial" w:cs="Arial" w:eastAsia="Arial" w:hAnsi="Arial"/>
        </w:rPr>
        <w:t xml:space="preserve">Recent company news relevant to the engagement objective, with links to sources:</w:t>
      </w:r>
    </w:p>
    <w:p>
      <w:pPr>
        <w:pStyle w:val="ListParagraph"/>
        <w:numPr>
          <w:ilvl w:val="0"/>
          <w:numId w:val="1"/>
        </w:numPr>
        <w:spacing w:line="276" w:after="120" w:before="0"/>
      </w:pPr>
      <w:r>
        <w:rPr>
          <w:b w:val="false"/>
          <w:bCs w:val="false"/>
          <w:i w:val="false"/>
          <w:iCs w:val="false"/>
          <w:color w:val="1A1A1A"/>
          <w:sz w:val="21"/>
          <w:szCs w:val="21"/>
          <w:rFonts w:ascii="Arial" w:cs="Arial" w:eastAsia="Arial" w:hAnsi="Arial"/>
        </w:rPr>
        <w:t xml:space="preserve">[Headline 1: from the company newsroom or investor relations page]</w:t>
      </w:r>
    </w:p>
    <w:p>
      <w:pPr>
        <w:pStyle w:val="ListParagraph"/>
        <w:numPr>
          <w:ilvl w:val="0"/>
          <w:numId w:val="1"/>
        </w:numPr>
        <w:spacing w:line="276" w:after="120" w:before="0"/>
      </w:pPr>
      <w:r>
        <w:rPr>
          <w:b w:val="false"/>
          <w:bCs w:val="false"/>
          <w:i w:val="false"/>
          <w:iCs w:val="false"/>
          <w:color w:val="1A1A1A"/>
          <w:sz w:val="21"/>
          <w:szCs w:val="21"/>
          <w:rFonts w:ascii="Arial" w:cs="Arial" w:eastAsia="Arial" w:hAnsi="Arial"/>
        </w:rPr>
        <w:t xml:space="preserve">[Headline 2: from sector press or analyst coverage]</w:t>
      </w:r>
    </w:p>
    <w:p>
      <w:pPr>
        <w:pBdr>
          <w:bottom w:val="single" w:color="D9D9D9" w:sz="4" w:space="4"/>
        </w:pBdr>
        <w:spacing w:line="276" w:after="160" w:before="360"/>
      </w:pPr>
      <w:r>
        <w:rPr>
          <w:b/>
          <w:bCs/>
          <w:i w:val="false"/>
          <w:iCs w:val="false"/>
          <w:color w:val="0A1F2E"/>
          <w:sz w:val="32"/>
          <w:szCs w:val="32"/>
          <w:rFonts w:ascii="Georgia" w:cs="Georgia" w:eastAsia="Georgia" w:hAnsi="Georgia"/>
        </w:rPr>
        <w:t xml:space="preserve">4. Key people</w:t>
      </w:r>
    </w:p>
    <w:tbl>
      <w:tblPr>
        <w:tblW w:type="pct" w:w="100%"/>
        <w:tblBorders>
          <w:top w:val="single" w:color="0A1F2E" w:sz="8"/>
          <w:left w:val="none"/>
          <w:bottom w:val="single" w:color="0A1F2E" w:sz="8"/>
          <w:right w:val="none"/>
          <w:insideH w:val="single" w:color="D9D9D9" w:sz="4"/>
          <w:insideV w:val="none"/>
        </w:tblBorders>
      </w:tblPr>
      <w:tblGrid>
        <w:gridCol w:w="100"/>
        <w:gridCol w:w="100"/>
      </w:tblGrid>
      <w:tr>
        <w:tc>
          <w:tcPr>
            <w:shd w:fill="0A1F2E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  <w:rFonts w:ascii="Arial" w:cs="Arial" w:eastAsia="Arial" w:hAnsi="Arial"/>
              </w:rPr>
              <w:t xml:space="preserve">Role</w:t>
            </w:r>
          </w:p>
        </w:tc>
        <w:tc>
          <w:tcPr>
            <w:shd w:fill="0A1F2E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  <w:rFonts w:ascii="Arial" w:cs="Arial" w:eastAsia="Arial" w:hAnsi="Arial"/>
              </w:rPr>
              <w:t xml:space="preserve">Name</w:t>
            </w:r>
          </w:p>
        </w:tc>
      </w:tr>
      <w:tr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  <w:rFonts w:ascii="Arial" w:cs="Arial" w:eastAsia="Arial" w:hAnsi="Arial"/>
              </w:rPr>
              <w:t xml:space="preserve">Chief Executive Officer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  <w:rFonts w:ascii="Arial" w:cs="Arial" w:eastAsia="Arial" w:hAnsi="Arial"/>
              </w:rPr>
              <w:t xml:space="preserve">[Name]</w:t>
            </w:r>
          </w:p>
        </w:tc>
      </w:tr>
      <w:tr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  <w:rFonts w:ascii="Arial" w:cs="Arial" w:eastAsia="Arial" w:hAnsi="Arial"/>
              </w:rPr>
              <w:t xml:space="preserve">Chair of the Board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  <w:rFonts w:ascii="Arial" w:cs="Arial" w:eastAsia="Arial" w:hAnsi="Arial"/>
              </w:rPr>
              <w:t xml:space="preserve">[Name]</w:t>
            </w:r>
          </w:p>
        </w:tc>
      </w:tr>
      <w:tr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  <w:rFonts w:ascii="Arial" w:cs="Arial" w:eastAsia="Arial" w:hAnsi="Arial"/>
              </w:rPr>
              <w:t xml:space="preserve">Chief Financial Officer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  <w:rFonts w:ascii="Arial" w:cs="Arial" w:eastAsia="Arial" w:hAnsi="Arial"/>
              </w:rPr>
              <w:t xml:space="preserve">[Name]</w:t>
            </w:r>
          </w:p>
        </w:tc>
      </w:tr>
      <w:tr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  <w:rFonts w:ascii="Arial" w:cs="Arial" w:eastAsia="Arial" w:hAnsi="Arial"/>
              </w:rPr>
              <w:t xml:space="preserve">[Other key role]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  <w:rFonts w:ascii="Arial" w:cs="Arial" w:eastAsia="Arial" w:hAnsi="Arial"/>
              </w:rPr>
              <w:t xml:space="preserve">[Name]</w:t>
            </w:r>
          </w:p>
        </w:tc>
      </w:tr>
    </w:tbl>
    <w:p>
      <w:pPr>
        <w:spacing w:line="276" w:after="240" w:before="60"/>
      </w:pPr>
      <w:r>
        <w:rPr>
          <w:b w:val="false"/>
          <w:bCs w:val="false"/>
          <w:i w:val="false"/>
          <w:iCs w:val="false"/>
          <w:color w:val="63666A"/>
          <w:sz w:val="16"/>
          <w:szCs w:val="16"/>
          <w:rFonts w:ascii="Arial" w:cs="Arial" w:eastAsia="Arial" w:hAnsi="Arial"/>
        </w:rPr>
        <w:t xml:space="preserve">Source: Company website; investor relations</w:t>
      </w:r>
    </w:p>
    <w:p>
      <w:pPr>
        <w:pBdr>
          <w:bottom w:val="single" w:color="D9D9D9" w:sz="4" w:space="4"/>
        </w:pBdr>
        <w:spacing w:line="276" w:after="160" w:before="360"/>
      </w:pPr>
      <w:r>
        <w:rPr>
          <w:b/>
          <w:bCs/>
          <w:i w:val="false"/>
          <w:iCs w:val="false"/>
          <w:color w:val="0A1F2E"/>
          <w:sz w:val="32"/>
          <w:szCs w:val="32"/>
          <w:rFonts w:ascii="Georgia" w:cs="Georgia" w:eastAsia="Georgia" w:hAnsi="Georgia"/>
        </w:rPr>
        <w:t xml:space="preserve">5. Key products</w:t>
      </w:r>
    </w:p>
    <w:tbl>
      <w:tblPr>
        <w:tblW w:type="pct" w:w="100%"/>
        <w:tblBorders>
          <w:top w:val="single" w:color="0A1F2E" w:sz="8"/>
          <w:left w:val="none"/>
          <w:bottom w:val="single" w:color="0A1F2E" w:sz="8"/>
          <w:right w:val="none"/>
          <w:insideH w:val="single" w:color="D9D9D9" w:sz="4"/>
          <w:insideV w:val="none"/>
        </w:tblBorders>
      </w:tblPr>
      <w:tblGrid>
        <w:gridCol w:w="100"/>
        <w:gridCol w:w="100"/>
        <w:gridCol w:w="100"/>
      </w:tblGrid>
      <w:tr>
        <w:tc>
          <w:tcPr>
            <w:shd w:fill="0A1F2E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  <w:rFonts w:ascii="Arial" w:cs="Arial" w:eastAsia="Arial" w:hAnsi="Arial"/>
              </w:rPr>
              <w:t xml:space="preserve">Name</w:t>
            </w:r>
          </w:p>
        </w:tc>
        <w:tc>
          <w:tcPr>
            <w:shd w:fill="0A1F2E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  <w:rFonts w:ascii="Arial" w:cs="Arial" w:eastAsia="Arial" w:hAnsi="Arial"/>
              </w:rPr>
              <w:t xml:space="preserve">Revenue</w:t>
            </w:r>
          </w:p>
        </w:tc>
        <w:tc>
          <w:tcPr>
            <w:shd w:fill="0A1F2E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  <w:rFonts w:ascii="Arial" w:cs="Arial" w:eastAsia="Arial" w:hAnsi="Arial"/>
              </w:rPr>
              <w:t xml:space="preserve">Description</w:t>
            </w:r>
          </w:p>
        </w:tc>
      </w:tr>
      <w:tr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  <w:rFonts w:ascii="Arial" w:cs="Arial" w:eastAsia="Arial" w:hAnsi="Arial"/>
              </w:rPr>
              <w:t xml:space="preserve">[Product or segment]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  <w:rFonts w:ascii="Arial" w:cs="Arial" w:eastAsia="Arial" w:hAnsi="Arial"/>
              </w:rPr>
              <w:t xml:space="preserve">[$M]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  <w:rFonts w:ascii="Arial" w:cs="Arial" w:eastAsia="Arial" w:hAnsi="Arial"/>
              </w:rPr>
              <w:t xml:space="preserve">[Brief description]</w:t>
            </w:r>
          </w:p>
        </w:tc>
      </w:tr>
      <w:tr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  <w:rFonts w:ascii="Arial" w:cs="Arial" w:eastAsia="Arial" w:hAnsi="Arial"/>
              </w:rPr>
              <w:t xml:space="preserve">[Product or segment]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  <w:rFonts w:ascii="Arial" w:cs="Arial" w:eastAsia="Arial" w:hAnsi="Arial"/>
              </w:rPr>
              <w:t xml:space="preserve">[$M]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  <w:rFonts w:ascii="Arial" w:cs="Arial" w:eastAsia="Arial" w:hAnsi="Arial"/>
              </w:rPr>
              <w:t xml:space="preserve">[Brief description]</w:t>
            </w:r>
          </w:p>
        </w:tc>
      </w:tr>
      <w:tr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  <w:rFonts w:ascii="Arial" w:cs="Arial" w:eastAsia="Arial" w:hAnsi="Arial"/>
              </w:rPr>
              <w:t xml:space="preserve">[Product or segment]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  <w:rFonts w:ascii="Arial" w:cs="Arial" w:eastAsia="Arial" w:hAnsi="Arial"/>
              </w:rPr>
              <w:t xml:space="preserve">[$M]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9"/>
                <w:szCs w:val="19"/>
                <w:rFonts w:ascii="Arial" w:cs="Arial" w:eastAsia="Arial" w:hAnsi="Arial"/>
              </w:rPr>
              <w:t xml:space="preserve">[Brief description]</w:t>
            </w:r>
          </w:p>
        </w:tc>
      </w:tr>
    </w:tbl>
    <w:p>
      <w:pPr>
        <w:spacing w:line="276" w:after="240" w:before="60"/>
      </w:pPr>
      <w:r>
        <w:rPr>
          <w:b w:val="false"/>
          <w:bCs w:val="false"/>
          <w:i w:val="false"/>
          <w:iCs w:val="false"/>
          <w:color w:val="63666A"/>
          <w:sz w:val="16"/>
          <w:szCs w:val="16"/>
          <w:rFonts w:ascii="Arial" w:cs="Arial" w:eastAsia="Arial" w:hAnsi="Arial"/>
        </w:rPr>
        <w:t xml:space="preserve">Source: Company financial statements; segment reporting where available</w:t>
      </w:r>
    </w:p>
    <w:p>
      <w:pPr>
        <w:pBdr>
          <w:bottom w:val="single" w:color="D9D9D9" w:sz="4" w:space="4"/>
        </w:pBdr>
        <w:spacing w:line="276" w:after="160" w:before="360"/>
      </w:pPr>
      <w:r>
        <w:rPr>
          <w:b/>
          <w:bCs/>
          <w:i w:val="false"/>
          <w:iCs w:val="false"/>
          <w:color w:val="0A1F2E"/>
          <w:sz w:val="32"/>
          <w:szCs w:val="32"/>
          <w:rFonts w:ascii="Georgia" w:cs="Georgia" w:eastAsia="Georgia" w:hAnsi="Georgia"/>
        </w:rPr>
        <w:t xml:space="preserve">6. Other</w:t>
      </w:r>
    </w:p>
    <w:p>
      <w:pPr>
        <w:spacing w:line="276" w:after="120" w:before="0"/>
      </w:pPr>
      <w:r>
        <w:rPr>
          <w:b w:val="false"/>
          <w:bCs w:val="false"/>
          <w:i w:val="false"/>
          <w:iCs w:val="false"/>
          <w:color w:val="1A1A1A"/>
          <w:sz w:val="21"/>
          <w:szCs w:val="21"/>
          <w:rFonts w:ascii="Arial" w:cs="Arial" w:eastAsia="Arial" w:hAnsi="Arial"/>
        </w:rPr>
        <w:t xml:space="preserve">The most important remaining topics to orient the team, prioritized for this engagement:</w:t>
      </w:r>
    </w:p>
    <w:p>
      <w:pPr>
        <w:pStyle w:val="ListParagraph"/>
        <w:numPr>
          <w:ilvl w:val="0"/>
          <w:numId w:val="1"/>
        </w:numPr>
        <w:spacing w:line="276" w:after="120" w:before="0"/>
      </w:pPr>
      <w:r>
        <w:rPr>
          <w:b w:val="false"/>
          <w:bCs w:val="false"/>
          <w:i w:val="false"/>
          <w:iCs w:val="false"/>
          <w:color w:val="1A1A1A"/>
          <w:sz w:val="21"/>
          <w:szCs w:val="21"/>
          <w:rFonts w:ascii="Arial" w:cs="Arial" w:eastAsia="Arial" w:hAnsi="Arial"/>
        </w:rPr>
        <w:t xml:space="preserve">Customer and supplier concentration: confirm the share of revenue tied to the top five relationships.</w:t>
      </w:r>
    </w:p>
    <w:p>
      <w:pPr>
        <w:pStyle w:val="ListParagraph"/>
        <w:numPr>
          <w:ilvl w:val="0"/>
          <w:numId w:val="1"/>
        </w:numPr>
        <w:spacing w:line="276" w:after="120" w:before="0"/>
      </w:pPr>
      <w:r>
        <w:rPr>
          <w:b w:val="false"/>
          <w:bCs w:val="false"/>
          <w:i w:val="false"/>
          <w:iCs w:val="false"/>
          <w:color w:val="1A1A1A"/>
          <w:sz w:val="21"/>
          <w:szCs w:val="21"/>
          <w:rFonts w:ascii="Arial" w:cs="Arial" w:eastAsia="Arial" w:hAnsi="Arial"/>
        </w:rPr>
        <w:t xml:space="preserve">Quality of reported figures: confirm accounting basis, one time items, and any restatements.</w:t>
      </w:r>
    </w:p>
    <w:p>
      <w:pPr>
        <w:pStyle w:val="ListParagraph"/>
        <w:numPr>
          <w:ilvl w:val="0"/>
          <w:numId w:val="1"/>
        </w:numPr>
        <w:spacing w:line="276" w:after="120" w:before="0"/>
      </w:pPr>
      <w:r>
        <w:rPr>
          <w:b w:val="false"/>
          <w:bCs w:val="false"/>
          <w:i w:val="false"/>
          <w:iCs w:val="false"/>
          <w:color w:val="1A1A1A"/>
          <w:sz w:val="21"/>
          <w:szCs w:val="21"/>
          <w:rFonts w:ascii="Arial" w:cs="Arial" w:eastAsia="Arial" w:hAnsi="Arial"/>
        </w:rPr>
        <w:t xml:space="preserve">Next step: management interviews using the accompanying interview guide.</w:t>
      </w:r>
    </w:p>
    <w:p>
      <w:pPr>
        <w:spacing w:line="276" w:after="120" w:before="300"/>
      </w:pPr>
      <w:r>
        <w:rPr>
          <w:b w:val="false"/>
          <w:bCs w:val="false"/>
          <w:i w:val="false"/>
          <w:iCs w:val="false"/>
          <w:color w:val="63666A"/>
          <w:sz w:val="16"/>
          <w:szCs w:val="16"/>
          <w:rFonts w:ascii="Arial" w:cs="Arial" w:eastAsia="Arial" w:hAnsi="Arial"/>
        </w:rPr>
        <w:t xml:space="preserve">Prepared with DealDesk. High level by design; figures may not sum due to rounding.</w:t>
      </w:r>
    </w:p>
    <w:sectPr>
      <w:headerReference w:type="default" r:id="rId6"/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360"/>
      </w:tabs>
      <w:spacing w:before="60" w:after="0"/>
    </w:pPr>
    <w:r>
      <w:rPr>
        <w:b w:val="false"/>
        <w:bCs w:val="false"/>
        <w:i w:val="false"/>
        <w:iCs w:val="false"/>
        <w:color w:val="63666A"/>
        <w:sz w:val="16"/>
        <w:szCs w:val="16"/>
        <w:rFonts w:ascii="Arial" w:cs="Arial" w:eastAsia="Arial" w:hAnsi="Arial"/>
      </w:rPr>
      <w:t xml:space="preserve">Draft for discussion purposes only</w:t>
    </w:r>
    <w:r>
      <w:t xml:space="preserve">	</w:t>
    </w:r>
    <w:r>
      <w:rPr>
        <w:color w:val="63666A"/>
        <w:sz w:val="16"/>
        <w:szCs w:val="16"/>
        <w:rFonts w:ascii="Arial" w:cs="Arial" w:eastAsia="Arial" w:hAnsi="Arial"/>
      </w:rPr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9D9" w:sz="4" w:space="4"/>
      </w:pBdr>
      <w:tabs>
        <w:tab w:val="right" w:pos="9360"/>
      </w:tabs>
      <w:spacing w:line="276" w:after="0" w:before="0"/>
    </w:pPr>
    <w:r>
      <w:rPr>
        <w:b w:val="false"/>
        <w:bCs w:val="false"/>
        <w:i w:val="false"/>
        <w:iCs w:val="false"/>
        <w:color w:val="63666A"/>
        <w:sz w:val="16"/>
        <w:szCs w:val="16"/>
        <w:rFonts w:ascii="Arial" w:cs="Arial" w:eastAsia="Arial" w:hAnsi="Arial"/>
      </w:rPr>
      <w:t xml:space="preserve">PROJECT MERIDIAN</w:t>
    </w:r>
    <w:r>
      <w:t xml:space="preserve">	</w:t>
    </w:r>
    <w:r>
      <w:rPr>
        <w:b w:val="false"/>
        <w:bCs w:val="false"/>
        <w:i w:val="false"/>
        <w:iCs w:val="false"/>
        <w:color w:val="63666A"/>
        <w:sz w:val="16"/>
        <w:szCs w:val="16"/>
        <w:rFonts w:ascii="Arial" w:cs="Arial" w:eastAsia="Arial" w:hAnsi="Arial"/>
      </w:rPr>
      <w:t xml:space="preserve">Private and confidential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1A1A1A"/>
        <w:sz w:val="21"/>
        <w:szCs w:val="21"/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2026-07-28T15:34:41.293Z</dcterms:created>
  <dcterms:modified xsi:type="dcterms:W3CDTF">2026-07-28T15:34:41.293Z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