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none"/>
          <w:left w:val="none"/>
          <w:bottom w:val="none"/>
          <w:right w:val="none"/>
          <w:insideH w:val="single" w:color="auto" w:sz="4"/>
          <w:insideV w:val="single" w:color="auto" w:sz="4"/>
        </w:tblBorders>
      </w:tblPr>
      <w:tblGrid>
        <w:gridCol w:w="7100"/>
        <w:gridCol w:w="1400"/>
        <w:gridCol w:w="1580"/>
      </w:tblGrid>
      <w:tr>
        <w:tc>
          <w:tcPr>
            <w:tcW w:type="dxa" w:w="7100"/>
            <w:tcBorders>
              <w:top w:val="none"/>
              <w:left w:val="none"/>
              <w:bottom w:val="none"/>
              <w:right w:val="none"/>
            </w:tcBorders>
            <w:vAlign w:val="center"/>
          </w:tcPr>
          <w:p>
            <w:r>
              <w:rPr>
                <w:rFonts w:ascii="Arial" w:cs="Arial" w:eastAsia="Arial" w:hAnsi="Arial"/>
                <w:b/>
                <w:bCs/>
                <w:color w:val="75758A"/>
                <w:spacing w:val="60"/>
                <w:sz w:val="17"/>
                <w:szCs w:val="17"/>
              </w:rPr>
              <w:t xml:space="preserve">DEALDESK / OPERATIONAL DIAGNOSIS</w:t>
            </w:r>
          </w:p>
        </w:tc>
        <w:tc>
          <w:tcPr>
            <w:tcW w:type="dxa" w:w="1400"/>
            <w:tcBorders>
              <w:top w:val="none"/>
              <w:left w:val="none"/>
              <w:bottom w:val="none"/>
              <w:right w:val="none"/>
            </w:tcBorders>
          </w:tcPr>
          <w:p>
            <w:r>
              <w:rPr>
                <w:rFonts w:ascii="Arial" w:cs="Arial" w:eastAsia="Arial" w:hAnsi="Arial"/>
              </w:rPr>
              <w:t xml:space="preserve"/>
            </w:r>
          </w:p>
        </w:tc>
        <w:tc>
          <w:tcPr>
            <w:tcW w:type="dxa" w:w="1580"/>
            <w:tcBorders>
              <w:top w:val="none"/>
              <w:left w:val="none"/>
              <w:bottom w:val="none"/>
              <w:right w:val="none"/>
            </w:tcBorders>
            <w:shd w:fill="351C15" w:color="auto" w:val="clear"/>
            <w:vAlign w:val="center"/>
          </w:tcPr>
          <w:p>
            <w:pPr>
              <w:spacing w:after="40" w:before="40"/>
              <w:jc w:val="center"/>
            </w:pPr>
            <w:r>
              <w:rPr>
                <w:rFonts w:ascii="Arial" w:cs="Arial" w:eastAsia="Arial" w:hAnsi="Arial"/>
                <w:b/>
                <w:bCs/>
                <w:color w:val="FFB500"/>
                <w:spacing w:val="20"/>
                <w:sz w:val="24"/>
                <w:szCs w:val="24"/>
              </w:rPr>
              <w:t xml:space="preserve">UPS</w:t>
            </w:r>
          </w:p>
        </w:tc>
      </w:tr>
    </w:tbl>
    <w:p>
      <w:pPr>
        <w:spacing w:after="60" w:before="180"/>
      </w:pPr>
      <w:r>
        <w:rPr>
          <w:rFonts w:ascii="Arial" w:cs="Arial" w:eastAsia="Arial" w:hAnsi="Arial"/>
          <w:b/>
          <w:bCs/>
          <w:color w:val="17171C"/>
          <w:sz w:val="34"/>
          <w:szCs w:val="34"/>
        </w:rPr>
        <w:t xml:space="preserve">UPS: Is the volume for margin trade working in US Domestic?</w:t>
      </w:r>
    </w:p>
    <w:p>
      <w:pPr>
        <w:pBdr>
          <w:bottom w:val="single" w:color="D9D9DD" w:sz="6" w:space="8"/>
        </w:pBdr>
        <w:spacing w:after="120"/>
      </w:pPr>
      <w:r>
        <w:rPr>
          <w:rFonts w:ascii="Arial" w:cs="Arial" w:eastAsia="Arial" w:hAnsi="Arial"/>
          <w:color w:val="75758A"/>
          <w:sz w:val="18"/>
          <w:szCs w:val="18"/>
        </w:rPr>
        <w:t xml:space="preserve">Operational diagnosis prepared for UPS executive leadership (illustrative)   ·   Latest verified quarter: Q1 2026</w:t>
      </w:r>
    </w:p>
    <w:p>
      <w:pPr>
        <w:spacing w:after="20"/>
      </w:pPr>
      <w:r>
        <w:rPr>
          <w:rFonts w:ascii="Arial" w:cs="Arial" w:eastAsia="Arial" w:hAnsi="Arial"/>
          <w:b/>
          <w:bCs/>
          <w:color w:val="351C15"/>
          <w:sz w:val="21"/>
          <w:szCs w:val="21"/>
        </w:rPr>
        <w:t xml:space="preserve">To: </w:t>
      </w:r>
      <w:r>
        <w:rPr>
          <w:rFonts w:ascii="Arial" w:cs="Arial" w:eastAsia="Arial" w:hAnsi="Arial"/>
          <w:color w:val="212121"/>
          <w:sz w:val="21"/>
          <w:szCs w:val="21"/>
        </w:rPr>
        <w:t xml:space="preserve">UPS executive leadership (mock client)</w:t>
      </w:r>
    </w:p>
    <w:p>
      <w:pPr>
        <w:spacing w:after="20"/>
      </w:pPr>
      <w:r>
        <w:rPr>
          <w:rFonts w:ascii="Arial" w:cs="Arial" w:eastAsia="Arial" w:hAnsi="Arial"/>
          <w:b/>
          <w:bCs/>
          <w:color w:val="351C15"/>
          <w:sz w:val="21"/>
          <w:szCs w:val="21"/>
        </w:rPr>
        <w:t xml:space="preserve">From: </w:t>
      </w:r>
      <w:r>
        <w:rPr>
          <w:rFonts w:ascii="Arial" w:cs="Arial" w:eastAsia="Arial" w:hAnsi="Arial"/>
          <w:color w:val="212121"/>
          <w:sz w:val="21"/>
          <w:szCs w:val="21"/>
        </w:rPr>
        <w:t xml:space="preserve">Joshua Keum, DealDesk</w:t>
      </w:r>
    </w:p>
    <w:p>
      <w:pPr>
        <w:spacing w:after="120" w:line="288"/>
      </w:pPr>
      <w:r>
        <w:rPr>
          <w:rFonts w:ascii="Arial" w:cs="Arial" w:eastAsia="Arial" w:hAnsi="Arial"/>
          <w:b/>
          <w:bCs/>
          <w:color w:val="351C15"/>
          <w:sz w:val="21"/>
          <w:szCs w:val="21"/>
        </w:rPr>
        <w:t xml:space="preserve">Re: </w:t>
      </w:r>
      <w:r>
        <w:rPr>
          <w:rFonts w:ascii="Arial" w:cs="Arial" w:eastAsia="Arial" w:hAnsi="Arial"/>
          <w:color w:val="212121"/>
          <w:sz w:val="21"/>
          <w:szCs w:val="21"/>
        </w:rPr>
        <w:t xml:space="preserve">Whether the deliberate volume for margin trade is rebuilding US Domestic margin</w:t>
      </w:r>
    </w:p>
    <w:p>
      <w:pPr>
        <w:pStyle w:val="Heading2"/>
        <w:spacing w:after="70" w:before="200"/>
      </w:pPr>
      <w:r>
        <w:rPr>
          <w:rFonts w:ascii="Arial" w:cs="Arial" w:eastAsia="Arial" w:hAnsi="Arial"/>
          <w:b/>
          <w:bCs/>
          <w:color w:val="9A6A12"/>
          <w:sz w:val="22"/>
          <w:szCs w:val="22"/>
        </w:rPr>
        <w:t xml:space="preserve">01  </w:t>
      </w:r>
      <w:r>
        <w:rPr>
          <w:rFonts w:ascii="Arial" w:cs="Arial" w:eastAsia="Arial" w:hAnsi="Arial"/>
          <w:b/>
          <w:bCs/>
          <w:color w:val="351C15"/>
          <w:sz w:val="23"/>
          <w:szCs w:val="23"/>
        </w:rPr>
        <w:t xml:space="preserve">Answer up front</w:t>
      </w:r>
    </w:p>
    <w:p>
      <w:pPr>
        <w:spacing w:after="120" w:line="288"/>
      </w:pPr>
      <w:r>
        <w:rPr>
          <w:rFonts w:ascii="Arial" w:cs="Arial" w:eastAsia="Arial" w:hAnsi="Arial"/>
          <w:color w:val="212121"/>
          <w:sz w:val="21"/>
          <w:szCs w:val="21"/>
        </w:rPr>
        <w:t xml:space="preserve">UPS is deliberately shedding its largest but lowest margin customer, cutting Amazon volume by more than half through the second half of 2026, to raise revenue per piece and rebuild US Domestic margin. The strategy is sound, but Q1 2026 was the low point, not the proof. US Domestic operating margin fell to </w:t>
      </w:r>
      <w:r>
        <w:rPr>
          <w:rFonts w:ascii="Arial" w:cs="Arial" w:eastAsia="Arial" w:hAnsi="Arial"/>
          <w:b/>
          <w:bCs/>
          <w:color w:val="212121"/>
          <w:sz w:val="21"/>
          <w:szCs w:val="21"/>
        </w:rPr>
        <w:t xml:space="preserve">3.6 percent (4.0 percent adjusted) from 6.8 percent (7.0 percent adjusted)</w:t>
      </w:r>
      <w:r>
        <w:rPr>
          <w:rFonts w:ascii="Arial" w:cs="Arial" w:eastAsia="Arial" w:hAnsi="Arial"/>
          <w:color w:val="212121"/>
          <w:sz w:val="21"/>
          <w:szCs w:val="21"/>
        </w:rPr>
        <w:t xml:space="preserve"> a year earlier, even though revenue per piece rose 6.5 percent, because roughly $350 million of one time transition costs, about 250 basis points, landed before the network savings and the Amazon exit fully phase in. The trade pays off only if margin snaps back to the 7.5 to 8.5 percent UPS guided for Q2 2026 and climbs toward the 12 percent US Domestic target for Q4 2026. Recommendation: keep taking cost out of the network at least as fast as Amazon volume leaves, and judge the strategy on the Q2 2026 margin print.</w:t>
      </w:r>
    </w:p>
    <w:p>
      <w:pPr>
        <w:pStyle w:val="Heading2"/>
        <w:spacing w:after="70" w:before="200"/>
      </w:pPr>
      <w:r>
        <w:rPr>
          <w:rFonts w:ascii="Arial" w:cs="Arial" w:eastAsia="Arial" w:hAnsi="Arial"/>
          <w:b/>
          <w:bCs/>
          <w:color w:val="9A6A12"/>
          <w:sz w:val="22"/>
          <w:szCs w:val="22"/>
        </w:rPr>
        <w:t xml:space="preserve">02  </w:t>
      </w:r>
      <w:r>
        <w:rPr>
          <w:rFonts w:ascii="Arial" w:cs="Arial" w:eastAsia="Arial" w:hAnsi="Arial"/>
          <w:b/>
          <w:bCs/>
          <w:color w:val="351C15"/>
          <w:sz w:val="23"/>
          <w:szCs w:val="23"/>
        </w:rPr>
        <w:t xml:space="preserve">Situation</w:t>
      </w:r>
    </w:p>
    <w:p>
      <w:pPr>
        <w:pStyle w:val="ListParagraph"/>
        <w:numPr>
          <w:ilvl w:val="0"/>
          <w:numId w:val="2"/>
        </w:numPr>
        <w:spacing w:after="80" w:line="286"/>
      </w:pPr>
      <w:r>
        <w:rPr>
          <w:rFonts w:ascii="Arial" w:cs="Arial" w:eastAsia="Arial" w:hAnsi="Arial"/>
          <w:color w:val="212121"/>
          <w:sz w:val="21"/>
          <w:szCs w:val="21"/>
        </w:rPr>
        <w:t xml:space="preserve">Amazon was UPS's largest customer at about 11.8 percent of 2024 revenue and up to a quarter of US package volume, and it was the least profitable, diluting US Domestic margin.</w:t>
      </w:r>
    </w:p>
    <w:p>
      <w:pPr>
        <w:pStyle w:val="ListParagraph"/>
        <w:numPr>
          <w:ilvl w:val="0"/>
          <w:numId w:val="2"/>
        </w:numPr>
        <w:spacing w:after="80" w:line="286"/>
      </w:pPr>
      <w:r>
        <w:rPr>
          <w:rFonts w:ascii="Arial" w:cs="Arial" w:eastAsia="Arial" w:hAnsi="Arial"/>
          <w:color w:val="212121"/>
          <w:sz w:val="21"/>
          <w:szCs w:val="21"/>
        </w:rPr>
        <w:t xml:space="preserve">On the Q4 2024 earnings call, UPS committed to cut Amazon volume by more than 50 percent by the second half of 2026. It removed roughly one million Amazon pieces per day in 2025 and plans another million in 2026.</w:t>
      </w:r>
    </w:p>
    <w:p>
      <w:pPr>
        <w:pStyle w:val="ListParagraph"/>
        <w:numPr>
          <w:ilvl w:val="0"/>
          <w:numId w:val="2"/>
        </w:numPr>
        <w:spacing w:after="80" w:line="286"/>
      </w:pPr>
      <w:r>
        <w:rPr>
          <w:rFonts w:ascii="Arial" w:cs="Arial" w:eastAsia="Arial" w:hAnsi="Arial"/>
          <w:color w:val="212121"/>
          <w:sz w:val="21"/>
          <w:szCs w:val="21"/>
        </w:rPr>
        <w:t xml:space="preserve">Management frames the strategy as “better, not bigger”: trade low margin volume for higher revenue per piece, and shrink the network to match.</w:t>
      </w:r>
    </w:p>
    <w:p>
      <w:pPr>
        <w:pStyle w:val="Heading2"/>
        <w:spacing w:after="70" w:before="200"/>
      </w:pPr>
      <w:r>
        <w:rPr>
          <w:rFonts w:ascii="Arial" w:cs="Arial" w:eastAsia="Arial" w:hAnsi="Arial"/>
          <w:b/>
          <w:bCs/>
          <w:color w:val="9A6A12"/>
          <w:sz w:val="22"/>
          <w:szCs w:val="22"/>
        </w:rPr>
        <w:t xml:space="preserve">03  </w:t>
      </w:r>
      <w:r>
        <w:rPr>
          <w:rFonts w:ascii="Arial" w:cs="Arial" w:eastAsia="Arial" w:hAnsi="Arial"/>
          <w:b/>
          <w:bCs/>
          <w:color w:val="351C15"/>
          <w:sz w:val="23"/>
          <w:szCs w:val="23"/>
        </w:rPr>
        <w:t xml:space="preserve">Complication</w:t>
      </w:r>
    </w:p>
    <w:p>
      <w:pPr>
        <w:spacing w:after="120" w:line="288"/>
      </w:pPr>
      <w:r>
        <w:rPr>
          <w:rFonts w:ascii="Arial" w:cs="Arial" w:eastAsia="Arial" w:hAnsi="Arial"/>
          <w:color w:val="212121"/>
          <w:sz w:val="21"/>
          <w:szCs w:val="21"/>
        </w:rPr>
        <w:t xml:space="preserve">Volume leaves on a fixed schedule, but the offsetting gains, meaning higher revenue per piece, network cost savings, and higher value replacement volume, arrive on their own timelines. That creates a valley: for several quarters UPS carries the cost of a network built for volume it no longer moves. The risk is stranded capacity. So the real question is not whether revenue per piece is rising, it clearly is, but whether cost is coming out fast enough to turn that into margin.</w:t>
      </w:r>
    </w:p>
    <w:p>
      <w:pPr>
        <w:pStyle w:val="Heading2"/>
        <w:spacing w:after="70" w:before="200"/>
      </w:pPr>
      <w:r>
        <w:rPr>
          <w:rFonts w:ascii="Arial" w:cs="Arial" w:eastAsia="Arial" w:hAnsi="Arial"/>
          <w:b/>
          <w:bCs/>
          <w:color w:val="9A6A12"/>
          <w:sz w:val="22"/>
          <w:szCs w:val="22"/>
        </w:rPr>
        <w:t xml:space="preserve">04  </w:t>
      </w:r>
      <w:r>
        <w:rPr>
          <w:rFonts w:ascii="Arial" w:cs="Arial" w:eastAsia="Arial" w:hAnsi="Arial"/>
          <w:b/>
          <w:bCs/>
          <w:color w:val="351C15"/>
          <w:sz w:val="23"/>
          <w:szCs w:val="23"/>
        </w:rPr>
        <w:t xml:space="preserve">Diagnosis</w:t>
      </w:r>
    </w:p>
    <w:p>
      <w:pPr>
        <w:spacing w:after="120" w:line="288"/>
      </w:pPr>
      <w:r>
        <w:rPr>
          <w:rFonts w:ascii="Arial" w:cs="Arial" w:eastAsia="Arial" w:hAnsi="Arial"/>
          <w:i/>
          <w:iCs/>
          <w:color w:val="75758A"/>
          <w:sz w:val="21"/>
          <w:szCs w:val="21"/>
        </w:rPr>
        <w:t xml:space="preserve">The question: across the last five quarters, is revenue per piece rising fast enough, and cost leaving fast enough, to offset the deliberate drop in volume?</w:t>
      </w:r>
    </w:p>
    <w:p>
      <w:pPr>
        <w:pStyle w:val="ListParagraph"/>
        <w:numPr>
          <w:ilvl w:val="0"/>
          <w:numId w:val="2"/>
        </w:numPr>
        <w:spacing w:after="80" w:line="286"/>
      </w:pPr>
      <w:r>
        <w:rPr>
          <w:rFonts w:ascii="Arial" w:cs="Arial" w:eastAsia="Arial" w:hAnsi="Arial"/>
          <w:b/>
          <w:bCs/>
          <w:color w:val="212121"/>
          <w:sz w:val="21"/>
          <w:szCs w:val="21"/>
        </w:rPr>
        <w:t xml:space="preserve">Volume is down as planned. </w:t>
      </w:r>
      <w:r>
        <w:rPr>
          <w:rFonts w:ascii="Arial" w:cs="Arial" w:eastAsia="Arial" w:hAnsi="Arial"/>
          <w:color w:val="212121"/>
          <w:sz w:val="21"/>
          <w:szCs w:val="21"/>
        </w:rPr>
        <w:t xml:space="preserve">US Domestic average daily volume fell 8.0 percent year over year in Q1 2026, on top of double digit declines in the prior two quarters.</w:t>
      </w:r>
    </w:p>
    <w:p>
      <w:pPr>
        <w:pStyle w:val="ListParagraph"/>
        <w:numPr>
          <w:ilvl w:val="0"/>
          <w:numId w:val="2"/>
        </w:numPr>
        <w:spacing w:after="80" w:line="286"/>
      </w:pPr>
      <w:r>
        <w:rPr>
          <w:rFonts w:ascii="Arial" w:cs="Arial" w:eastAsia="Arial" w:hAnsi="Arial"/>
          <w:b/>
          <w:bCs/>
          <w:color w:val="212121"/>
          <w:sz w:val="21"/>
          <w:szCs w:val="21"/>
        </w:rPr>
        <w:t xml:space="preserve">Price is up. </w:t>
      </w:r>
      <w:r>
        <w:rPr>
          <w:rFonts w:ascii="Arial" w:cs="Arial" w:eastAsia="Arial" w:hAnsi="Arial"/>
          <w:color w:val="212121"/>
          <w:sz w:val="21"/>
          <w:szCs w:val="21"/>
        </w:rPr>
        <w:t xml:space="preserve">US Domestic revenue per piece rose 6.5 percent, and consolidated revenue per piece rose 7.7 percent to $15.32. Small and mid sized business reached a record 34.5 percent of US volume, improving mix.</w:t>
      </w:r>
    </w:p>
    <w:p>
      <w:pPr>
        <w:pStyle w:val="ListParagraph"/>
        <w:numPr>
          <w:ilvl w:val="0"/>
          <w:numId w:val="2"/>
        </w:numPr>
        <w:spacing w:after="80" w:line="286"/>
      </w:pPr>
      <w:r>
        <w:rPr>
          <w:rFonts w:ascii="Arial" w:cs="Arial" w:eastAsia="Arial" w:hAnsi="Arial"/>
          <w:b/>
          <w:bCs/>
          <w:color w:val="212121"/>
          <w:sz w:val="21"/>
          <w:szCs w:val="21"/>
        </w:rPr>
        <w:t xml:space="preserve">Margin has not yet followed. </w:t>
      </w:r>
      <w:r>
        <w:rPr>
          <w:rFonts w:ascii="Arial" w:cs="Arial" w:eastAsia="Arial" w:hAnsi="Arial"/>
          <w:color w:val="212121"/>
          <w:sz w:val="21"/>
          <w:szCs w:val="21"/>
        </w:rPr>
        <w:t xml:space="preserve">Adjusted US Domestic margin ran 7.0, 7.0, 6.4, 10.2, then 4.0 percent across the five quarters. The Q1 2026 trough reflects the roughly $350 million of one time costs, which management says are largely behind it.</w:t>
      </w:r>
    </w:p>
    <w:p>
      <w:pPr>
        <w:pStyle w:val="ListParagraph"/>
        <w:numPr>
          <w:ilvl w:val="0"/>
          <w:numId w:val="2"/>
        </w:numPr>
        <w:spacing w:after="80" w:line="286"/>
      </w:pPr>
      <w:r>
        <w:rPr>
          <w:rFonts w:ascii="Arial" w:cs="Arial" w:eastAsia="Arial" w:hAnsi="Arial"/>
          <w:b/>
          <w:bCs/>
          <w:color w:val="212121"/>
          <w:sz w:val="21"/>
          <w:szCs w:val="21"/>
        </w:rPr>
        <w:t xml:space="preserve">Cost is coming out. </w:t>
      </w:r>
      <w:r>
        <w:rPr>
          <w:rFonts w:ascii="Arial" w:cs="Arial" w:eastAsia="Arial" w:hAnsi="Arial"/>
          <w:color w:val="212121"/>
          <w:sz w:val="21"/>
          <w:szCs w:val="21"/>
        </w:rPr>
        <w:t xml:space="preserve">UPS removed $3.5 billion of cost in 2025 (93 buildings closed, about 48,000 roles) and targets roughly $3 billion more in 2026 with up to 30,000 additional role reductions.</w:t>
      </w:r>
    </w:p>
    <w:p>
      <w:pPr>
        <w:spacing w:after="120" w:line="288"/>
      </w:pPr>
      <w:r>
        <w:rPr>
          <w:rFonts w:ascii="Arial" w:cs="Arial" w:eastAsia="Arial" w:hAnsi="Arial"/>
          <w:i/>
          <w:iCs/>
          <w:color w:val="93939F"/>
          <w:sz w:val="19"/>
          <w:szCs w:val="19"/>
        </w:rPr>
        <w:t xml:space="preserve">Exhibit: the accompanying model and deck chart the volume, price, and margin series over the five quarters.</w:t>
      </w:r>
    </w:p>
    <w:p>
      <w:pPr>
        <w:pStyle w:val="Heading2"/>
        <w:spacing w:after="70" w:before="200"/>
      </w:pPr>
      <w:r>
        <w:rPr>
          <w:rFonts w:ascii="Arial" w:cs="Arial" w:eastAsia="Arial" w:hAnsi="Arial"/>
          <w:b/>
          <w:bCs/>
          <w:color w:val="9A6A12"/>
          <w:sz w:val="22"/>
          <w:szCs w:val="22"/>
        </w:rPr>
        <w:t xml:space="preserve">05  </w:t>
      </w:r>
      <w:r>
        <w:rPr>
          <w:rFonts w:ascii="Arial" w:cs="Arial" w:eastAsia="Arial" w:hAnsi="Arial"/>
          <w:b/>
          <w:bCs/>
          <w:color w:val="351C15"/>
          <w:sz w:val="23"/>
          <w:szCs w:val="23"/>
        </w:rPr>
        <w:t xml:space="preserve">Recommendation</w:t>
      </w:r>
    </w:p>
    <w:p>
      <w:pPr>
        <w:pStyle w:val="ListParagraph"/>
        <w:numPr>
          <w:ilvl w:val="0"/>
          <w:numId w:val="3"/>
        </w:numPr>
        <w:spacing w:after="80" w:line="286"/>
      </w:pPr>
      <w:r>
        <w:rPr>
          <w:rFonts w:ascii="Arial" w:cs="Arial" w:eastAsia="Arial" w:hAnsi="Arial"/>
          <w:b/>
          <w:bCs/>
          <w:color w:val="212121"/>
          <w:sz w:val="21"/>
          <w:szCs w:val="21"/>
        </w:rPr>
        <w:t xml:space="preserve">Match cost to the glide down. </w:t>
      </w:r>
      <w:r>
        <w:rPr>
          <w:rFonts w:ascii="Arial" w:cs="Arial" w:eastAsia="Arial" w:hAnsi="Arial"/>
          <w:color w:val="212121"/>
          <w:sz w:val="21"/>
          <w:szCs w:val="21"/>
        </w:rPr>
        <w:t xml:space="preserve">Keep closing and automating facilities on the same schedule Amazon volume leaves, so freed capacity does not sit idle. The roughly $3 billion 2026 savings program is the lever, and timing is the whole game.</w:t>
      </w:r>
    </w:p>
    <w:p>
      <w:pPr>
        <w:pStyle w:val="ListParagraph"/>
        <w:numPr>
          <w:ilvl w:val="0"/>
          <w:numId w:val="3"/>
        </w:numPr>
        <w:spacing w:after="80" w:line="286"/>
      </w:pPr>
      <w:r>
        <w:rPr>
          <w:rFonts w:ascii="Arial" w:cs="Arial" w:eastAsia="Arial" w:hAnsi="Arial"/>
          <w:b/>
          <w:bCs/>
          <w:color w:val="212121"/>
          <w:sz w:val="21"/>
          <w:szCs w:val="21"/>
        </w:rPr>
        <w:t xml:space="preserve">Refill with margin, not volume. </w:t>
      </w:r>
      <w:r>
        <w:rPr>
          <w:rFonts w:ascii="Arial" w:cs="Arial" w:eastAsia="Arial" w:hAnsi="Arial"/>
          <w:color w:val="212121"/>
          <w:sz w:val="21"/>
          <w:szCs w:val="21"/>
        </w:rPr>
        <w:t xml:space="preserve">Prioritize healthcare (first $3 billion quarter in Q1 2026, with a $20 billion target) and small business over chasing raw packages.</w:t>
      </w:r>
    </w:p>
    <w:p>
      <w:pPr>
        <w:pStyle w:val="ListParagraph"/>
        <w:numPr>
          <w:ilvl w:val="0"/>
          <w:numId w:val="3"/>
        </w:numPr>
        <w:spacing w:after="80" w:line="286"/>
      </w:pPr>
      <w:r>
        <w:rPr>
          <w:rFonts w:ascii="Arial" w:cs="Arial" w:eastAsia="Arial" w:hAnsi="Arial"/>
          <w:b/>
          <w:bCs/>
          <w:color w:val="212121"/>
          <w:sz w:val="21"/>
          <w:szCs w:val="21"/>
        </w:rPr>
        <w:t xml:space="preserve">Judge the strategy on Q2 2026. </w:t>
      </w:r>
      <w:r>
        <w:rPr>
          <w:rFonts w:ascii="Arial" w:cs="Arial" w:eastAsia="Arial" w:hAnsi="Arial"/>
          <w:color w:val="212121"/>
          <w:sz w:val="21"/>
          <w:szCs w:val="21"/>
        </w:rPr>
        <w:t xml:space="preserve">If adjusted US Domestic margin clears about 7.5 percent, the transition costs rolled off as promised and the thesis holds. Below roughly 7 percent signals the cost is not converting on schedule.</w:t>
      </w:r>
    </w:p>
    <w:p>
      <w:pPr>
        <w:pStyle w:val="Heading2"/>
        <w:spacing w:after="70" w:before="200"/>
      </w:pPr>
      <w:r>
        <w:rPr>
          <w:rFonts w:ascii="Arial" w:cs="Arial" w:eastAsia="Arial" w:hAnsi="Arial"/>
          <w:b/>
          <w:bCs/>
          <w:color w:val="9A6A12"/>
          <w:sz w:val="22"/>
          <w:szCs w:val="22"/>
        </w:rPr>
        <w:t xml:space="preserve">06  </w:t>
      </w:r>
      <w:r>
        <w:rPr>
          <w:rFonts w:ascii="Arial" w:cs="Arial" w:eastAsia="Arial" w:hAnsi="Arial"/>
          <w:b/>
          <w:bCs/>
          <w:color w:val="351C15"/>
          <w:sz w:val="23"/>
          <w:szCs w:val="23"/>
        </w:rPr>
        <w:t xml:space="preserve">What would change the call</w:t>
      </w:r>
    </w:p>
    <w:p>
      <w:pPr>
        <w:pStyle w:val="ListParagraph"/>
        <w:numPr>
          <w:ilvl w:val="0"/>
          <w:numId w:val="2"/>
        </w:numPr>
        <w:spacing w:after="80" w:line="286"/>
      </w:pPr>
      <w:r>
        <w:rPr>
          <w:rFonts w:ascii="Arial" w:cs="Arial" w:eastAsia="Arial" w:hAnsi="Arial"/>
          <w:color w:val="212121"/>
          <w:sz w:val="21"/>
          <w:szCs w:val="21"/>
        </w:rPr>
        <w:t xml:space="preserve">If Q2 2026 margin lands in or above the guided 7.5 to 8.5 percent range, the recommendation shifts from fixing the margin math to defending the replacement volume.</w:t>
      </w:r>
    </w:p>
    <w:p>
      <w:pPr>
        <w:pStyle w:val="ListParagraph"/>
        <w:numPr>
          <w:ilvl w:val="0"/>
          <w:numId w:val="2"/>
        </w:numPr>
        <w:spacing w:after="80" w:line="286"/>
      </w:pPr>
      <w:r>
        <w:rPr>
          <w:rFonts w:ascii="Arial" w:cs="Arial" w:eastAsia="Arial" w:hAnsi="Arial"/>
          <w:color w:val="212121"/>
          <w:sz w:val="21"/>
          <w:szCs w:val="21"/>
        </w:rPr>
        <w:t xml:space="preserve">If the higher value volume does not materialize, or the Teamsters litigation blocks the $1.2 billion driver buyout, the risk moves from margin to revenue, and the call changes.</w:t>
      </w:r>
    </w:p>
    <w:p>
      <w:pPr>
        <w:pBdr>
          <w:top w:val="single" w:color="D9D9DD" w:sz="6" w:space="8"/>
        </w:pBdr>
        <w:spacing w:before="220"/>
      </w:pPr>
      <w:r>
        <w:rPr>
          <w:rFonts w:ascii="Arial" w:cs="Arial" w:eastAsia="Arial" w:hAnsi="Arial"/>
          <w:i/>
          <w:iCs/>
          <w:color w:val="93939F"/>
          <w:sz w:val="16"/>
          <w:szCs w:val="16"/>
        </w:rPr>
        <w:t xml:space="preserve">Sources: UPS Q1 2026 and Q4 2025 earnings releases and SEC filings (10-Q, 10-K) via SEC EDGAR; UPS earnings call remarks. Figures are GAAP with adjusted shown where relevant. Latest verified quarter: Q1 2026; Q2 2026 results were pending at time of writing.</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2026-07-28T03:51:30.312Z</dcterms:created>
  <dcterms:modified xsi:type="dcterms:W3CDTF">2026-07-28T03:51:30.313Z</dcterms:modified>
</cp:coreProperties>
</file>

<file path=docProps/custom.xml><?xml version="1.0" encoding="utf-8"?>
<Properties xmlns="http://schemas.openxmlformats.org/officeDocument/2006/custom-properties" xmlns:vt="http://schemas.openxmlformats.org/officeDocument/2006/docPropsVTypes"/>
</file>