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80"/>
        <w:tblBorders>
          <w:top w:val="none"/>
          <w:left w:val="none"/>
          <w:bottom w:val="none"/>
          <w:right w:val="none"/>
          <w:insideH w:val="single" w:color="auto" w:sz="4"/>
          <w:insideV w:val="single" w:color="auto" w:sz="4"/>
        </w:tblBorders>
      </w:tblPr>
      <w:tblGrid>
        <w:gridCol w:w="7100"/>
        <w:gridCol w:w="1400"/>
        <w:gridCol w:w="1580"/>
      </w:tblGrid>
      <w:tr>
        <w:tc>
          <w:tcPr>
            <w:tcW w:type="dxa" w:w="7100"/>
            <w:tcBorders>
              <w:top w:val="none"/>
              <w:left w:val="none"/>
              <w:bottom w:val="none"/>
              <w:right w:val="none"/>
            </w:tcBorders>
            <w:vAlign w:val="center"/>
          </w:tcPr>
          <w:p>
            <w:r>
              <w:rPr>
                <w:rFonts w:ascii="Arial" w:cs="Arial" w:eastAsia="Arial" w:hAnsi="Arial"/>
                <w:b/>
                <w:bCs/>
                <w:color w:val="75758A"/>
                <w:spacing w:val="60"/>
                <w:sz w:val="17"/>
                <w:szCs w:val="17"/>
              </w:rPr>
              <w:t xml:space="preserve">DEALDESK / INTERVIEW GUIDE</w:t>
            </w:r>
          </w:p>
        </w:tc>
        <w:tc>
          <w:tcPr>
            <w:tcW w:type="dxa" w:w="1400"/>
            <w:tcBorders>
              <w:top w:val="none"/>
              <w:left w:val="none"/>
              <w:bottom w:val="none"/>
              <w:right w:val="none"/>
            </w:tcBorders>
          </w:tcPr>
          <w:p>
            <w:r>
              <w:rPr>
                <w:rFonts w:ascii="Arial" w:cs="Arial" w:eastAsia="Arial" w:hAnsi="Arial"/>
              </w:rPr>
              <w:t xml:space="preserve"/>
            </w:r>
          </w:p>
        </w:tc>
        <w:tc>
          <w:tcPr>
            <w:tcW w:type="dxa" w:w="1580"/>
            <w:tcBorders>
              <w:top w:val="none"/>
              <w:left w:val="none"/>
              <w:bottom w:val="none"/>
              <w:right w:val="none"/>
            </w:tcBorders>
            <w:shd w:fill="351C15" w:color="auto" w:val="clear"/>
            <w:vAlign w:val="center"/>
          </w:tcPr>
          <w:p>
            <w:pPr>
              <w:spacing w:after="40" w:before="40"/>
              <w:jc w:val="center"/>
            </w:pPr>
            <w:r>
              <w:rPr>
                <w:rFonts w:ascii="Arial" w:cs="Arial" w:eastAsia="Arial" w:hAnsi="Arial"/>
                <w:b/>
                <w:bCs/>
                <w:color w:val="FFB500"/>
                <w:spacing w:val="20"/>
                <w:sz w:val="24"/>
                <w:szCs w:val="24"/>
              </w:rPr>
              <w:t xml:space="preserve">UPS</w:t>
            </w:r>
          </w:p>
        </w:tc>
      </w:tr>
    </w:tbl>
    <w:p>
      <w:pPr>
        <w:spacing w:after="60" w:before="180"/>
      </w:pPr>
      <w:r>
        <w:rPr>
          <w:rFonts w:ascii="Arial" w:cs="Arial" w:eastAsia="Arial" w:hAnsi="Arial"/>
          <w:b/>
          <w:bCs/>
          <w:color w:val="17171C"/>
          <w:sz w:val="34"/>
          <w:szCs w:val="34"/>
        </w:rPr>
        <w:t xml:space="preserve">UPS Operational Diagnosis: Practitioner Interview Guide</w:t>
      </w:r>
    </w:p>
    <w:p>
      <w:pPr>
        <w:pBdr>
          <w:bottom w:val="single" w:color="D9D9DD" w:sz="6" w:space="8"/>
        </w:pBdr>
        <w:spacing w:after="130"/>
      </w:pPr>
      <w:r>
        <w:rPr>
          <w:rFonts w:ascii="Arial" w:cs="Arial" w:eastAsia="Arial" w:hAnsi="Arial"/>
          <w:color w:val="75758A"/>
          <w:sz w:val="18"/>
          <w:szCs w:val="18"/>
        </w:rPr>
        <w:t xml:space="preserve">A structure for a 30 minute conversation to pressure test the analysis and learn how the work is done</w:t>
      </w:r>
    </w:p>
    <w:p>
      <w:pPr>
        <w:spacing w:after="110" w:line="286"/>
      </w:pPr>
      <w:r>
        <w:rPr>
          <w:rFonts w:ascii="Arial" w:cs="Arial" w:eastAsia="Arial" w:hAnsi="Arial"/>
          <w:b/>
          <w:bCs/>
          <w:color w:val="351C15"/>
          <w:sz w:val="21"/>
          <w:szCs w:val="21"/>
        </w:rPr>
        <w:t xml:space="preserve">Purpose. </w:t>
      </w:r>
      <w:r>
        <w:rPr>
          <w:rFonts w:ascii="Arial" w:cs="Arial" w:eastAsia="Arial" w:hAnsi="Arial"/>
          <w:color w:val="212121"/>
          <w:sz w:val="21"/>
          <w:szCs w:val="21"/>
        </w:rPr>
        <w:t xml:space="preserve">Use this guide when walking a consulting or operations practitioner through the UPS memo. The goal is two things at once: honest feedback on the analysis, and a clearer picture of how this kind of work happens in practice. Send the memo about a day ahead, have the model open, and treat it as a conversation, not a pitch.</w:t>
      </w:r>
    </w:p>
    <w:p>
      <w:pPr>
        <w:pStyle w:val="Heading2"/>
        <w:spacing w:after="60" w:before="190"/>
      </w:pPr>
      <w:r>
        <w:rPr>
          <w:rFonts w:ascii="Arial" w:cs="Arial" w:eastAsia="Arial" w:hAnsi="Arial"/>
          <w:b/>
          <w:bCs/>
          <w:color w:val="351C15"/>
          <w:sz w:val="22"/>
          <w:szCs w:val="22"/>
        </w:rPr>
        <w:t xml:space="preserve">Opening</w:t>
      </w:r>
      <w:r>
        <w:rPr>
          <w:rFonts w:ascii="Arial" w:cs="Arial" w:eastAsia="Arial" w:hAnsi="Arial"/>
          <w:b/>
          <w:bCs/>
          <w:color w:val="9A6A12"/>
          <w:sz w:val="16"/>
          <w:szCs w:val="16"/>
        </w:rPr>
        <w:t xml:space="preserve">   2 min</w:t>
      </w:r>
    </w:p>
    <w:p>
      <w:pPr>
        <w:spacing w:after="110" w:line="286"/>
      </w:pPr>
      <w:r>
        <w:rPr>
          <w:rFonts w:ascii="Arial" w:cs="Arial" w:eastAsia="Arial" w:hAnsi="Arial"/>
          <w:i/>
          <w:iCs/>
          <w:color w:val="75758A"/>
          <w:sz w:val="21"/>
          <w:szCs w:val="21"/>
        </w:rPr>
        <w:t xml:space="preserve">“Thanks for making the time. I built a short operational diagnosis of UPS as a way to actually learn the work rather than just read about it. I would love your honest reactions, both to the analysis itself and to how close it is to the real thing. Please be blunt, that is the most useful kind of feedback.”</w:t>
      </w:r>
    </w:p>
    <w:p>
      <w:pPr>
        <w:pStyle w:val="Heading2"/>
        <w:spacing w:after="60" w:before="190"/>
      </w:pPr>
      <w:r>
        <w:rPr>
          <w:rFonts w:ascii="Arial" w:cs="Arial" w:eastAsia="Arial" w:hAnsi="Arial"/>
          <w:b/>
          <w:bCs/>
          <w:color w:val="351C15"/>
          <w:sz w:val="22"/>
          <w:szCs w:val="22"/>
        </w:rPr>
        <w:t xml:space="preserve">Section 1: Reactions to the analysis</w:t>
      </w:r>
      <w:r>
        <w:rPr>
          <w:rFonts w:ascii="Arial" w:cs="Arial" w:eastAsia="Arial" w:hAnsi="Arial"/>
          <w:b/>
          <w:bCs/>
          <w:color w:val="9A6A12"/>
          <w:sz w:val="16"/>
          <w:szCs w:val="16"/>
        </w:rPr>
        <w:t xml:space="preserve">   10 min</w:t>
      </w:r>
    </w:p>
    <w:p>
      <w:pPr>
        <w:pStyle w:val="ListParagraph"/>
        <w:numPr>
          <w:ilvl w:val="0"/>
          <w:numId w:val="2"/>
        </w:numPr>
        <w:spacing w:after="70" w:line="284"/>
      </w:pPr>
      <w:r>
        <w:rPr>
          <w:rFonts w:ascii="Arial" w:cs="Arial" w:eastAsia="Arial" w:hAnsi="Arial"/>
          <w:color w:val="212121"/>
          <w:sz w:val="21"/>
          <w:szCs w:val="21"/>
        </w:rPr>
        <w:t xml:space="preserve">Does the core question, whether the volume for margin trade is working, strike you as the right thing to be asking about UPS right now?</w:t>
      </w:r>
    </w:p>
    <w:p>
      <w:pPr>
        <w:pStyle w:val="ListParagraph"/>
        <w:numPr>
          <w:ilvl w:val="0"/>
          <w:numId w:val="2"/>
        </w:numPr>
        <w:spacing w:after="70" w:line="284"/>
      </w:pPr>
      <w:r>
        <w:rPr>
          <w:rFonts w:ascii="Arial" w:cs="Arial" w:eastAsia="Arial" w:hAnsi="Arial"/>
          <w:color w:val="212121"/>
          <w:sz w:val="21"/>
          <w:szCs w:val="21"/>
        </w:rPr>
        <w:t xml:space="preserve">Where is the reasoning weakest? If a junior handed you this, what would you push on first?</w:t>
      </w:r>
    </w:p>
    <w:p>
      <w:pPr>
        <w:pStyle w:val="ListParagraph"/>
        <w:numPr>
          <w:ilvl w:val="0"/>
          <w:numId w:val="2"/>
        </w:numPr>
        <w:spacing w:after="70" w:line="284"/>
      </w:pPr>
      <w:r>
        <w:rPr>
          <w:rFonts w:ascii="Arial" w:cs="Arial" w:eastAsia="Arial" w:hAnsi="Arial"/>
          <w:color w:val="212121"/>
          <w:sz w:val="21"/>
          <w:szCs w:val="21"/>
        </w:rPr>
        <w:t xml:space="preserve">Is a short memo plus a simple model and a brief deck the right format for a problem like this, or would a client expect something different?</w:t>
      </w:r>
    </w:p>
    <w:p>
      <w:pPr>
        <w:pStyle w:val="Heading2"/>
        <w:spacing w:after="60" w:before="190"/>
      </w:pPr>
      <w:r>
        <w:rPr>
          <w:rFonts w:ascii="Arial" w:cs="Arial" w:eastAsia="Arial" w:hAnsi="Arial"/>
          <w:b/>
          <w:bCs/>
          <w:color w:val="351C15"/>
          <w:sz w:val="22"/>
          <w:szCs w:val="22"/>
        </w:rPr>
        <w:t xml:space="preserve">Section 2: The UPS problem specifically</w:t>
      </w:r>
      <w:r>
        <w:rPr>
          <w:rFonts w:ascii="Arial" w:cs="Arial" w:eastAsia="Arial" w:hAnsi="Arial"/>
          <w:b/>
          <w:bCs/>
          <w:color w:val="9A6A12"/>
          <w:sz w:val="16"/>
          <w:szCs w:val="16"/>
        </w:rPr>
        <w:t xml:space="preserve">   7 min</w:t>
      </w:r>
    </w:p>
    <w:p>
      <w:pPr>
        <w:pStyle w:val="ListParagraph"/>
        <w:numPr>
          <w:ilvl w:val="0"/>
          <w:numId w:val="2"/>
        </w:numPr>
        <w:spacing w:after="70" w:line="284"/>
      </w:pPr>
      <w:r>
        <w:rPr>
          <w:rFonts w:ascii="Arial" w:cs="Arial" w:eastAsia="Arial" w:hAnsi="Arial"/>
          <w:color w:val="212121"/>
          <w:sz w:val="21"/>
          <w:szCs w:val="21"/>
        </w:rPr>
        <w:t xml:space="preserve">How would you pressure test the claim that the Q1 transition costs are truly one time and roll off in Q2?</w:t>
      </w:r>
    </w:p>
    <w:p>
      <w:pPr>
        <w:pStyle w:val="ListParagraph"/>
        <w:numPr>
          <w:ilvl w:val="0"/>
          <w:numId w:val="2"/>
        </w:numPr>
        <w:spacing w:after="70" w:line="284"/>
      </w:pPr>
      <w:r>
        <w:rPr>
          <w:rFonts w:ascii="Arial" w:cs="Arial" w:eastAsia="Arial" w:hAnsi="Arial"/>
          <w:color w:val="212121"/>
          <w:sz w:val="21"/>
          <w:szCs w:val="21"/>
        </w:rPr>
        <w:t xml:space="preserve">Beyond the headline savings number, what would you look at to judge whether cost is really leaving the network fast enough?</w:t>
      </w:r>
    </w:p>
    <w:p>
      <w:pPr>
        <w:pStyle w:val="ListParagraph"/>
        <w:numPr>
          <w:ilvl w:val="0"/>
          <w:numId w:val="2"/>
        </w:numPr>
        <w:spacing w:after="70" w:line="284"/>
      </w:pPr>
      <w:r>
        <w:rPr>
          <w:rFonts w:ascii="Arial" w:cs="Arial" w:eastAsia="Arial" w:hAnsi="Arial"/>
          <w:color w:val="212121"/>
          <w:sz w:val="21"/>
          <w:szCs w:val="21"/>
        </w:rPr>
        <w:t xml:space="preserve">In your experience, what is the most common way a deliberate shrink like this fails in execution?</w:t>
      </w:r>
    </w:p>
    <w:p>
      <w:pPr>
        <w:pStyle w:val="Heading2"/>
        <w:spacing w:after="60" w:before="190"/>
      </w:pPr>
      <w:r>
        <w:rPr>
          <w:rFonts w:ascii="Arial" w:cs="Arial" w:eastAsia="Arial" w:hAnsi="Arial"/>
          <w:b/>
          <w:bCs/>
          <w:color w:val="351C15"/>
          <w:sz w:val="22"/>
          <w:szCs w:val="22"/>
        </w:rPr>
        <w:t xml:space="preserve">Section 3: How the work really gets done</w:t>
      </w:r>
      <w:r>
        <w:rPr>
          <w:rFonts w:ascii="Arial" w:cs="Arial" w:eastAsia="Arial" w:hAnsi="Arial"/>
          <w:b/>
          <w:bCs/>
          <w:color w:val="9A6A12"/>
          <w:sz w:val="16"/>
          <w:szCs w:val="16"/>
        </w:rPr>
        <w:t xml:space="preserve">   7 min</w:t>
      </w:r>
    </w:p>
    <w:p>
      <w:pPr>
        <w:pStyle w:val="ListParagraph"/>
        <w:numPr>
          <w:ilvl w:val="0"/>
          <w:numId w:val="2"/>
        </w:numPr>
        <w:spacing w:after="70" w:line="284"/>
      </w:pPr>
      <w:r>
        <w:rPr>
          <w:rFonts w:ascii="Arial" w:cs="Arial" w:eastAsia="Arial" w:hAnsi="Arial"/>
          <w:color w:val="212121"/>
          <w:sz w:val="21"/>
          <w:szCs w:val="21"/>
        </w:rPr>
        <w:t xml:space="preserve">On a real engagement, roughly how much of this is analysis versus stakeholder management?</w:t>
      </w:r>
    </w:p>
    <w:p>
      <w:pPr>
        <w:pStyle w:val="ListParagraph"/>
        <w:numPr>
          <w:ilvl w:val="0"/>
          <w:numId w:val="2"/>
        </w:numPr>
        <w:spacing w:after="70" w:line="284"/>
      </w:pPr>
      <w:r>
        <w:rPr>
          <w:rFonts w:ascii="Arial" w:cs="Arial" w:eastAsia="Arial" w:hAnsi="Arial"/>
          <w:color w:val="212121"/>
          <w:sz w:val="21"/>
          <w:szCs w:val="21"/>
        </w:rPr>
        <w:t xml:space="preserve">When the numbers are not all sitting in public filings, where does the data actually come from?</w:t>
      </w:r>
    </w:p>
    <w:p>
      <w:pPr>
        <w:pStyle w:val="ListParagraph"/>
        <w:numPr>
          <w:ilvl w:val="0"/>
          <w:numId w:val="2"/>
        </w:numPr>
        <w:spacing w:after="70" w:line="284"/>
      </w:pPr>
      <w:r>
        <w:rPr>
          <w:rFonts w:ascii="Arial" w:cs="Arial" w:eastAsia="Arial" w:hAnsi="Arial"/>
          <w:color w:val="212121"/>
          <w:sz w:val="21"/>
          <w:szCs w:val="21"/>
        </w:rPr>
        <w:t xml:space="preserve">How do teams handle the gap between a clean recommendation and a messy client reality?</w:t>
      </w:r>
    </w:p>
    <w:p>
      <w:pPr>
        <w:pStyle w:val="Heading2"/>
        <w:spacing w:after="60" w:before="190"/>
      </w:pPr>
      <w:r>
        <w:rPr>
          <w:rFonts w:ascii="Arial" w:cs="Arial" w:eastAsia="Arial" w:hAnsi="Arial"/>
          <w:b/>
          <w:bCs/>
          <w:color w:val="351C15"/>
          <w:sz w:val="22"/>
          <w:szCs w:val="22"/>
        </w:rPr>
        <w:t xml:space="preserve">Section 4: The path</w:t>
      </w:r>
      <w:r>
        <w:rPr>
          <w:rFonts w:ascii="Arial" w:cs="Arial" w:eastAsia="Arial" w:hAnsi="Arial"/>
          <w:b/>
          <w:bCs/>
          <w:color w:val="9A6A12"/>
          <w:sz w:val="16"/>
          <w:szCs w:val="16"/>
        </w:rPr>
        <w:t xml:space="preserve">   4 min</w:t>
      </w:r>
    </w:p>
    <w:p>
      <w:pPr>
        <w:pStyle w:val="ListParagraph"/>
        <w:numPr>
          <w:ilvl w:val="0"/>
          <w:numId w:val="2"/>
        </w:numPr>
        <w:spacing w:after="70" w:line="284"/>
      </w:pPr>
      <w:r>
        <w:rPr>
          <w:rFonts w:ascii="Arial" w:cs="Arial" w:eastAsia="Arial" w:hAnsi="Arial"/>
          <w:color w:val="212121"/>
          <w:sz w:val="21"/>
          <w:szCs w:val="21"/>
        </w:rPr>
        <w:t xml:space="preserve">What separates an analyst who is good at this from one who is great?</w:t>
      </w:r>
    </w:p>
    <w:p>
      <w:pPr>
        <w:pStyle w:val="ListParagraph"/>
        <w:numPr>
          <w:ilvl w:val="0"/>
          <w:numId w:val="2"/>
        </w:numPr>
        <w:spacing w:after="70" w:line="284"/>
      </w:pPr>
      <w:r>
        <w:rPr>
          <w:rFonts w:ascii="Arial" w:cs="Arial" w:eastAsia="Arial" w:hAnsi="Arial"/>
          <w:color w:val="212121"/>
          <w:sz w:val="21"/>
          <w:szCs w:val="21"/>
        </w:rPr>
        <w:t xml:space="preserve">If you were in my position, what would you build or learn next to be credible for this kind of role?</w:t>
      </w:r>
    </w:p>
    <w:p>
      <w:pPr>
        <w:pStyle w:val="Heading2"/>
        <w:spacing w:after="60" w:before="190"/>
      </w:pPr>
      <w:r>
        <w:rPr>
          <w:rFonts w:ascii="Arial" w:cs="Arial" w:eastAsia="Arial" w:hAnsi="Arial"/>
          <w:b/>
          <w:bCs/>
          <w:color w:val="351C15"/>
          <w:sz w:val="22"/>
          <w:szCs w:val="22"/>
        </w:rPr>
        <w:t xml:space="preserve">Closing</w:t>
      </w:r>
      <w:r>
        <w:rPr>
          <w:rFonts w:ascii="Arial" w:cs="Arial" w:eastAsia="Arial" w:hAnsi="Arial"/>
          <w:b/>
          <w:bCs/>
          <w:color w:val="9A6A12"/>
          <w:sz w:val="16"/>
          <w:szCs w:val="16"/>
        </w:rPr>
        <w:t xml:space="preserve">   2 min</w:t>
      </w:r>
    </w:p>
    <w:p>
      <w:pPr>
        <w:spacing w:after="110" w:line="286"/>
      </w:pPr>
      <w:r>
        <w:rPr>
          <w:rFonts w:ascii="Arial" w:cs="Arial" w:eastAsia="Arial" w:hAnsi="Arial"/>
          <w:color w:val="212121"/>
          <w:sz w:val="21"/>
          <w:szCs w:val="21"/>
        </w:rPr>
        <w:t xml:space="preserve">Thank them specifically for one thing they said. Then two quick asks:</w:t>
      </w:r>
    </w:p>
    <w:p>
      <w:pPr>
        <w:pStyle w:val="ListParagraph"/>
        <w:numPr>
          <w:ilvl w:val="0"/>
          <w:numId w:val="3"/>
        </w:numPr>
        <w:spacing w:after="60" w:line="284"/>
      </w:pPr>
      <w:r>
        <w:rPr>
          <w:rFonts w:ascii="Arial" w:cs="Arial" w:eastAsia="Arial" w:hAnsi="Arial"/>
          <w:color w:val="212121"/>
          <w:sz w:val="20"/>
          <w:szCs w:val="20"/>
        </w:rPr>
        <w:t xml:space="preserve">“Is there anyone else you think would be worth my talking to?”</w:t>
      </w:r>
    </w:p>
    <w:p>
      <w:pPr>
        <w:pStyle w:val="ListParagraph"/>
        <w:numPr>
          <w:ilvl w:val="0"/>
          <w:numId w:val="3"/>
        </w:numPr>
        <w:spacing w:after="60" w:line="284"/>
      </w:pPr>
      <w:r>
        <w:rPr>
          <w:rFonts w:ascii="Arial" w:cs="Arial" w:eastAsia="Arial" w:hAnsi="Arial"/>
          <w:color w:val="212121"/>
          <w:sz w:val="20"/>
          <w:szCs w:val="20"/>
        </w:rPr>
        <w:t xml:space="preserve">“Would it be alright if I sent you the final version once I have revised it?”</w:t>
      </w:r>
    </w:p>
    <w:p>
      <w:pPr>
        <w:pStyle w:val="Heading2"/>
        <w:spacing w:after="60" w:before="190"/>
      </w:pPr>
      <w:r>
        <w:rPr>
          <w:rFonts w:ascii="Arial" w:cs="Arial" w:eastAsia="Arial" w:hAnsi="Arial"/>
          <w:b/>
          <w:bCs/>
          <w:color w:val="351C15"/>
          <w:sz w:val="22"/>
          <w:szCs w:val="22"/>
        </w:rPr>
        <w:t xml:space="preserve">Notes for yourself</w:t>
      </w:r>
    </w:p>
    <w:p>
      <w:pPr>
        <w:pStyle w:val="ListParagraph"/>
        <w:numPr>
          <w:ilvl w:val="0"/>
          <w:numId w:val="3"/>
        </w:numPr>
        <w:spacing w:after="60" w:line="284"/>
      </w:pPr>
      <w:r>
        <w:rPr>
          <w:rFonts w:ascii="Arial" w:cs="Arial" w:eastAsia="Arial" w:hAnsi="Arial"/>
          <w:color w:val="212121"/>
          <w:sz w:val="20"/>
          <w:szCs w:val="20"/>
        </w:rPr>
        <w:t xml:space="preserve">Listen more than you talk. The questions are prompts, not a script to rush through.</w:t>
      </w:r>
    </w:p>
    <w:p>
      <w:pPr>
        <w:pStyle w:val="ListParagraph"/>
        <w:numPr>
          <w:ilvl w:val="0"/>
          <w:numId w:val="3"/>
        </w:numPr>
        <w:spacing w:after="60" w:line="284"/>
      </w:pPr>
      <w:r>
        <w:rPr>
          <w:rFonts w:ascii="Arial" w:cs="Arial" w:eastAsia="Arial" w:hAnsi="Arial"/>
          <w:color w:val="212121"/>
          <w:sz w:val="20"/>
          <w:szCs w:val="20"/>
        </w:rPr>
        <w:t xml:space="preserve">When they critique something, ask “what would good look like instead?” rather than defending it.</w:t>
      </w:r>
    </w:p>
    <w:p>
      <w:pPr>
        <w:pStyle w:val="ListParagraph"/>
        <w:numPr>
          <w:ilvl w:val="0"/>
          <w:numId w:val="3"/>
        </w:numPr>
        <w:spacing w:after="60" w:line="284"/>
      </w:pPr>
      <w:r>
        <w:rPr>
          <w:rFonts w:ascii="Arial" w:cs="Arial" w:eastAsia="Arial" w:hAnsi="Arial"/>
          <w:color w:val="212121"/>
          <w:sz w:val="20"/>
          <w:szCs w:val="20"/>
        </w:rPr>
        <w:t xml:space="preserve">Write down exact phrases they use. Send a short thank you within 24 hours that references one specific point.</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60" w:hanging="260"/>
      </w:pPr>
    </w:lvl>
  </w:abstractNum>
  <w:abstractNum w:abstractNumId="3"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2026-07-28T03:52:02.703Z</dcterms:created>
  <dcterms:modified xsi:type="dcterms:W3CDTF">2026-07-28T03:52:02.703Z</dcterms:modified>
</cp:coreProperties>
</file>

<file path=docProps/custom.xml><?xml version="1.0" encoding="utf-8"?>
<Properties xmlns="http://schemas.openxmlformats.org/officeDocument/2006/custom-properties" xmlns:vt="http://schemas.openxmlformats.org/officeDocument/2006/docPropsVTypes"/>
</file>